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065" w:rsidRPr="001A57E3" w:rsidRDefault="00F45499">
      <w:pPr>
        <w:jc w:val="center"/>
        <w:rPr>
          <w:lang w:val="en-GB"/>
        </w:rPr>
      </w:pPr>
      <w:r w:rsidRPr="001A57E3">
        <w:rPr>
          <w:i/>
          <w:lang w:val="en-GB"/>
        </w:rPr>
        <w:t>Non-official translation</w:t>
      </w:r>
    </w:p>
    <w:p w:rsidR="00420065" w:rsidRPr="001A57E3" w:rsidRDefault="00420065">
      <w:pPr>
        <w:jc w:val="center"/>
        <w:rPr>
          <w:lang w:val="en-GB"/>
        </w:rPr>
      </w:pPr>
    </w:p>
    <w:p w:rsidR="00420065" w:rsidRPr="001A57E3" w:rsidRDefault="00EF72E5" w:rsidP="004B1AEF">
      <w:pPr>
        <w:spacing w:line="320" w:lineRule="atLeast"/>
        <w:jc w:val="center"/>
        <w:rPr>
          <w:b/>
          <w:kern w:val="16"/>
          <w:lang w:val="en-GB"/>
        </w:rPr>
      </w:pPr>
      <w:proofErr w:type="gramStart"/>
      <w:r w:rsidRPr="001A57E3">
        <w:rPr>
          <w:b/>
          <w:kern w:val="16"/>
          <w:lang w:val="en-GB"/>
        </w:rPr>
        <w:t>GUIDELINES</w:t>
      </w:r>
      <w:r w:rsidR="004B1AEF" w:rsidRPr="001A57E3">
        <w:rPr>
          <w:b/>
          <w:kern w:val="16"/>
          <w:lang w:val="en-GB"/>
        </w:rPr>
        <w:t xml:space="preserve"> NO.</w:t>
      </w:r>
      <w:proofErr w:type="gramEnd"/>
      <w:r w:rsidR="004B1AEF" w:rsidRPr="001A57E3">
        <w:rPr>
          <w:b/>
          <w:kern w:val="16"/>
          <w:lang w:val="en-GB"/>
        </w:rPr>
        <w:t xml:space="preserve"> 2 OF THE FUNDING CONDITIONS FOR PROJECTS UNDER MEASURE 01.2.2.-LMT-K-718 TARGETED RESEARCH IN SMART SPECIALISATION AREAS OF PRIORITY AXIS 1 ‘PROMOTION OF RESEARCH, DEVELOPMENT AND INNOVATIONS’ OF THE OPERATIONAL PROGRAMME FOR THE EUROPEAN UNION FUNDS’ INVESTMENT IN 2014–2020</w:t>
      </w:r>
    </w:p>
    <w:p w:rsidR="00420065" w:rsidRPr="001A57E3" w:rsidRDefault="00420065" w:rsidP="005F2A93">
      <w:pPr>
        <w:jc w:val="center"/>
        <w:rPr>
          <w:lang w:val="en-GB"/>
        </w:rPr>
      </w:pPr>
    </w:p>
    <w:p w:rsidR="004B1AEF" w:rsidRPr="001A57E3" w:rsidRDefault="004B1AEF">
      <w:pPr>
        <w:rPr>
          <w:lang w:val="en-GB"/>
        </w:rPr>
      </w:pPr>
    </w:p>
    <w:p w:rsidR="00420065" w:rsidRPr="001A57E3" w:rsidRDefault="00C12A1D">
      <w:pPr>
        <w:jc w:val="center"/>
        <w:rPr>
          <w:b/>
          <w:szCs w:val="24"/>
          <w:lang w:val="en-GB"/>
        </w:rPr>
      </w:pPr>
      <w:r w:rsidRPr="001A57E3">
        <w:rPr>
          <w:b/>
          <w:szCs w:val="24"/>
          <w:lang w:val="en-GB"/>
        </w:rPr>
        <w:t>CHAPTER I</w:t>
      </w:r>
    </w:p>
    <w:p w:rsidR="00420065" w:rsidRPr="001A57E3" w:rsidRDefault="00C12A1D">
      <w:pPr>
        <w:jc w:val="center"/>
        <w:rPr>
          <w:b/>
          <w:szCs w:val="24"/>
          <w:lang w:val="en-GB"/>
        </w:rPr>
      </w:pPr>
      <w:r w:rsidRPr="001A57E3">
        <w:rPr>
          <w:b/>
          <w:szCs w:val="24"/>
          <w:lang w:val="en-GB"/>
        </w:rPr>
        <w:t>GENERAL PROVISIONS</w:t>
      </w:r>
    </w:p>
    <w:p w:rsidR="00420065" w:rsidRPr="001A57E3" w:rsidRDefault="00420065">
      <w:pPr>
        <w:rPr>
          <w:lang w:val="en-GB"/>
        </w:rPr>
      </w:pPr>
    </w:p>
    <w:p w:rsidR="00606B1D" w:rsidRPr="001A57E3" w:rsidRDefault="00545694" w:rsidP="00C27FF0">
      <w:pPr>
        <w:ind w:firstLine="709"/>
        <w:jc w:val="both"/>
        <w:rPr>
          <w:lang w:val="en-GB"/>
        </w:rPr>
      </w:pPr>
      <w:r w:rsidRPr="001A57E3">
        <w:rPr>
          <w:lang w:val="en-GB"/>
        </w:rPr>
        <w:t xml:space="preserve">1. </w:t>
      </w:r>
      <w:r w:rsidR="00EF72E5" w:rsidRPr="001A57E3">
        <w:rPr>
          <w:lang w:val="en-GB"/>
        </w:rPr>
        <w:t>Guidelines</w:t>
      </w:r>
      <w:r w:rsidR="004B1AEF" w:rsidRPr="001A57E3">
        <w:rPr>
          <w:lang w:val="en-GB"/>
        </w:rPr>
        <w:t xml:space="preserve"> No. 2 of the funding conditions for projects under Measure 01.2.2.-LMT-K-718 Targeted research in smart specialisation areas of Priority axis 1 ‘Promotion of research, development and innovations’ of the Operational Programme for the European Union Funds’ investment in 2014–2020 </w:t>
      </w:r>
      <w:r w:rsidR="0023259A" w:rsidRPr="001A57E3">
        <w:rPr>
          <w:lang w:val="en-GB"/>
        </w:rPr>
        <w:t>prescribes the requirements for</w:t>
      </w:r>
      <w:r w:rsidR="00C27FF0" w:rsidRPr="001A57E3">
        <w:rPr>
          <w:lang w:val="en-GB"/>
        </w:rPr>
        <w:t xml:space="preserve">: the applicants, </w:t>
      </w:r>
      <w:r w:rsidR="0023259A" w:rsidRPr="001A57E3">
        <w:rPr>
          <w:lang w:val="en-GB"/>
        </w:rPr>
        <w:t xml:space="preserve">when drawing up and submitting the applications for financing the projects co-funded from structural funds of </w:t>
      </w:r>
      <w:r w:rsidR="00C27FF0" w:rsidRPr="001A57E3">
        <w:rPr>
          <w:lang w:val="en-GB"/>
        </w:rPr>
        <w:t>the European Union (hereinafter—</w:t>
      </w:r>
      <w:r w:rsidR="0023259A" w:rsidRPr="001A57E3">
        <w:rPr>
          <w:lang w:val="en-GB"/>
        </w:rPr>
        <w:t xml:space="preserve">the application) according to the </w:t>
      </w:r>
      <w:r w:rsidR="00606B1D" w:rsidRPr="001A57E3">
        <w:rPr>
          <w:lang w:val="en-GB"/>
        </w:rPr>
        <w:t xml:space="preserve">supported activity </w:t>
      </w:r>
      <w:r w:rsidR="00B576A4" w:rsidRPr="001A57E3">
        <w:rPr>
          <w:i/>
          <w:lang w:val="en-GB"/>
        </w:rPr>
        <w:t>Attracting</w:t>
      </w:r>
      <w:r w:rsidR="00606B1D" w:rsidRPr="001A57E3">
        <w:rPr>
          <w:i/>
          <w:lang w:val="en-GB"/>
        </w:rPr>
        <w:t xml:space="preserve"> scientists </w:t>
      </w:r>
      <w:r w:rsidR="00B576A4" w:rsidRPr="001A57E3">
        <w:rPr>
          <w:i/>
          <w:lang w:val="en-GB"/>
        </w:rPr>
        <w:t xml:space="preserve">from abroad </w:t>
      </w:r>
      <w:r w:rsidR="00606B1D" w:rsidRPr="001A57E3">
        <w:rPr>
          <w:i/>
          <w:lang w:val="en-GB"/>
        </w:rPr>
        <w:t>to carry out research</w:t>
      </w:r>
      <w:r w:rsidR="00606B1D" w:rsidRPr="001A57E3">
        <w:rPr>
          <w:lang w:val="en-GB"/>
        </w:rPr>
        <w:t xml:space="preserve"> under Measure </w:t>
      </w:r>
      <w:r w:rsidR="00606B1D" w:rsidRPr="001A57E3">
        <w:rPr>
          <w:kern w:val="16"/>
          <w:lang w:val="en-GB"/>
        </w:rPr>
        <w:t xml:space="preserve">01.2.2-LMT-K-718 </w:t>
      </w:r>
      <w:r w:rsidR="00606B1D" w:rsidRPr="001A57E3">
        <w:rPr>
          <w:i/>
          <w:kern w:val="16"/>
          <w:lang w:val="en-GB"/>
        </w:rPr>
        <w:t>Targeted Research in Smart Specialization Areas</w:t>
      </w:r>
      <w:r w:rsidR="00606B1D" w:rsidRPr="001A57E3">
        <w:rPr>
          <w:kern w:val="16"/>
          <w:lang w:val="en-GB"/>
        </w:rPr>
        <w:t xml:space="preserve"> (hereinafter</w:t>
      </w:r>
      <w:r w:rsidR="00C27FF0" w:rsidRPr="001A57E3">
        <w:rPr>
          <w:kern w:val="16"/>
          <w:lang w:val="en-GB"/>
        </w:rPr>
        <w:t>—</w:t>
      </w:r>
      <w:r w:rsidR="00606B1D" w:rsidRPr="001A57E3">
        <w:rPr>
          <w:kern w:val="16"/>
          <w:lang w:val="en-GB"/>
        </w:rPr>
        <w:t xml:space="preserve">the Measure) of Priority Axis 1 </w:t>
      </w:r>
      <w:r w:rsidR="00606B1D" w:rsidRPr="001A57E3">
        <w:rPr>
          <w:i/>
          <w:kern w:val="16"/>
          <w:lang w:val="en-GB"/>
        </w:rPr>
        <w:t>Promotion of research, development and innovations</w:t>
      </w:r>
      <w:r w:rsidR="00606B1D" w:rsidRPr="001A57E3">
        <w:rPr>
          <w:kern w:val="16"/>
          <w:lang w:val="en-GB"/>
        </w:rPr>
        <w:t xml:space="preserve"> of the Operational programme, approved by the decision of 08 September 2014 of the European Commission, which approved certain elements of the Operational programme for the European Union Funds’ investments in 2014–2020 in order to allocate support to Lithuania </w:t>
      </w:r>
      <w:r w:rsidR="00C27FF0" w:rsidRPr="001A57E3">
        <w:rPr>
          <w:kern w:val="16"/>
          <w:lang w:val="en-GB"/>
        </w:rPr>
        <w:t xml:space="preserve">from the European Regional Development Fund, the Cohesion Fund, the European Social Fund and the specific allocation for the Youth Employment Initiative in pursuit of the goal to invest in economic growth and create jobs (a notification of the said document was given by the European Commission by document No. </w:t>
      </w:r>
      <w:r w:rsidR="00C27FF0" w:rsidRPr="001A57E3">
        <w:rPr>
          <w:lang w:val="en-GB"/>
        </w:rPr>
        <w:t xml:space="preserve">C(2014)6397) (hereinafter–the Operational Programme); the implementers of projects co-funded from the European Union structural funds (hereinafter—the projects) when implementing projects co-funded from the structural funds of the European Union according to the </w:t>
      </w:r>
      <w:r w:rsidR="00EF72E5" w:rsidRPr="001A57E3">
        <w:rPr>
          <w:lang w:val="en-GB"/>
        </w:rPr>
        <w:t>Guidelines</w:t>
      </w:r>
      <w:r w:rsidR="00C27FF0" w:rsidRPr="001A57E3">
        <w:rPr>
          <w:lang w:val="en-GB"/>
        </w:rPr>
        <w:t>; as well as institutions carrying out the assessment and selection of applications and the oversight of project implementation.</w:t>
      </w:r>
    </w:p>
    <w:p w:rsidR="00420065" w:rsidRPr="001A57E3" w:rsidRDefault="00545694">
      <w:pPr>
        <w:ind w:firstLine="709"/>
        <w:jc w:val="both"/>
        <w:rPr>
          <w:lang w:val="en-GB"/>
        </w:rPr>
      </w:pPr>
      <w:r w:rsidRPr="001A57E3">
        <w:rPr>
          <w:lang w:val="en-GB"/>
        </w:rPr>
        <w:t xml:space="preserve">2. </w:t>
      </w:r>
      <w:r w:rsidR="00C27FF0" w:rsidRPr="001A57E3">
        <w:rPr>
          <w:lang w:val="en-GB"/>
        </w:rPr>
        <w:t xml:space="preserve">The </w:t>
      </w:r>
      <w:r w:rsidR="00EF72E5" w:rsidRPr="001A57E3">
        <w:rPr>
          <w:lang w:val="en-GB"/>
        </w:rPr>
        <w:t>Guidelines</w:t>
      </w:r>
      <w:r w:rsidR="00C27FF0" w:rsidRPr="001A57E3">
        <w:rPr>
          <w:lang w:val="en-GB"/>
        </w:rPr>
        <w:t xml:space="preserve"> </w:t>
      </w:r>
      <w:r w:rsidR="00EF72E5" w:rsidRPr="001A57E3">
        <w:rPr>
          <w:lang w:val="en-GB"/>
        </w:rPr>
        <w:t xml:space="preserve">have </w:t>
      </w:r>
      <w:r w:rsidR="00C27FF0" w:rsidRPr="001A57E3">
        <w:rPr>
          <w:lang w:val="en-GB"/>
        </w:rPr>
        <w:t>been drawn up with regard to</w:t>
      </w:r>
      <w:r w:rsidRPr="001A57E3">
        <w:rPr>
          <w:lang w:val="en-GB"/>
        </w:rPr>
        <w:t>:</w:t>
      </w:r>
    </w:p>
    <w:p w:rsidR="00420065" w:rsidRPr="001A57E3" w:rsidRDefault="00545694">
      <w:pPr>
        <w:ind w:firstLine="709"/>
        <w:jc w:val="both"/>
        <w:rPr>
          <w:szCs w:val="24"/>
          <w:lang w:val="en-GB"/>
        </w:rPr>
      </w:pPr>
      <w:r w:rsidRPr="001A57E3">
        <w:rPr>
          <w:szCs w:val="24"/>
          <w:lang w:val="en-GB"/>
        </w:rPr>
        <w:t xml:space="preserve">2.1. </w:t>
      </w:r>
      <w:r w:rsidR="00C27FF0" w:rsidRPr="001A57E3">
        <w:rPr>
          <w:szCs w:val="24"/>
          <w:lang w:val="en-GB"/>
        </w:rPr>
        <w:t>The plan for the implementation of the implementing measures of the priority under the Operational Programme for the EU Structural Funds’ Investments for 2014</w:t>
      </w:r>
      <w:r w:rsidR="00C27FF0" w:rsidRPr="001A57E3">
        <w:rPr>
          <w:szCs w:val="24"/>
          <w:cs/>
          <w:lang w:val="en-GB"/>
        </w:rPr>
        <w:t>–</w:t>
      </w:r>
      <w:r w:rsidR="00C27FF0" w:rsidRPr="001A57E3">
        <w:rPr>
          <w:szCs w:val="24"/>
          <w:lang w:val="en-GB"/>
        </w:rPr>
        <w:t xml:space="preserve">2020 approved by Order No. V-380 of the Minister of Education and Science of the Republic of Lithuania on 23 April 2015 </w:t>
      </w:r>
      <w:r w:rsidR="00C27FF0" w:rsidRPr="001A57E3">
        <w:rPr>
          <w:i/>
          <w:szCs w:val="24"/>
          <w:lang w:val="en-GB"/>
        </w:rPr>
        <w:t>On the approval of the plan for the implementation of the implementing measures of the priority under the Operational Programme for the EU Structural Funds’ Investments for 2014</w:t>
      </w:r>
      <w:r w:rsidR="00C27FF0" w:rsidRPr="001A57E3">
        <w:rPr>
          <w:i/>
          <w:szCs w:val="24"/>
          <w:cs/>
          <w:lang w:val="en-GB"/>
        </w:rPr>
        <w:t>–</w:t>
      </w:r>
      <w:r w:rsidR="00C27FF0" w:rsidRPr="001A57E3">
        <w:rPr>
          <w:i/>
          <w:szCs w:val="24"/>
          <w:lang w:val="en-GB"/>
        </w:rPr>
        <w:t xml:space="preserve">2020, and of the National </w:t>
      </w:r>
      <w:r w:rsidR="00EF72E5" w:rsidRPr="001A57E3">
        <w:rPr>
          <w:i/>
          <w:szCs w:val="24"/>
          <w:lang w:val="en-GB"/>
        </w:rPr>
        <w:t>Guidelines</w:t>
      </w:r>
      <w:r w:rsidR="00C27FF0" w:rsidRPr="001A57E3">
        <w:rPr>
          <w:i/>
          <w:szCs w:val="24"/>
          <w:lang w:val="en-GB"/>
        </w:rPr>
        <w:t xml:space="preserve"> for the calculation of monitoring indicators</w:t>
      </w:r>
      <w:r w:rsidR="00C27FF0" w:rsidRPr="001A57E3">
        <w:rPr>
          <w:szCs w:val="24"/>
          <w:lang w:val="en-GB"/>
        </w:rPr>
        <w:t xml:space="preserve"> (hereinafter—</w:t>
      </w:r>
      <w:r w:rsidR="00C27FF0" w:rsidRPr="001A57E3">
        <w:rPr>
          <w:szCs w:val="24"/>
          <w:cs/>
          <w:lang w:val="en-GB"/>
        </w:rPr>
        <w:t xml:space="preserve">the </w:t>
      </w:r>
      <w:r w:rsidR="00C27FF0" w:rsidRPr="001A57E3">
        <w:rPr>
          <w:szCs w:val="24"/>
          <w:lang w:val="en-GB"/>
        </w:rPr>
        <w:t>Measure Implementation Plan)</w:t>
      </w:r>
      <w:r w:rsidRPr="001A57E3">
        <w:rPr>
          <w:szCs w:val="24"/>
          <w:lang w:val="en-GB"/>
        </w:rPr>
        <w:t>;</w:t>
      </w:r>
    </w:p>
    <w:p w:rsidR="00420065" w:rsidRPr="001A57E3" w:rsidRDefault="00545694">
      <w:pPr>
        <w:ind w:firstLine="709"/>
        <w:jc w:val="both"/>
        <w:rPr>
          <w:szCs w:val="24"/>
          <w:lang w:val="en-GB"/>
        </w:rPr>
      </w:pPr>
      <w:r w:rsidRPr="001A57E3">
        <w:rPr>
          <w:lang w:val="en-GB"/>
        </w:rPr>
        <w:t xml:space="preserve">2.2. </w:t>
      </w:r>
      <w:r w:rsidR="00C27FF0" w:rsidRPr="001A57E3">
        <w:rPr>
          <w:lang w:val="en-GB"/>
        </w:rPr>
        <w:t xml:space="preserve">The </w:t>
      </w:r>
      <w:r w:rsidR="00C27FF0" w:rsidRPr="001A57E3">
        <w:rPr>
          <w:i/>
          <w:lang w:val="en-GB"/>
        </w:rPr>
        <w:t>Project administration and financing rules</w:t>
      </w:r>
      <w:r w:rsidR="00C27FF0" w:rsidRPr="001A57E3">
        <w:rPr>
          <w:lang w:val="en-GB"/>
        </w:rPr>
        <w:t xml:space="preserve"> approved by Order No. 1K-16 of the Minister of Finance of the Republic of Lithuania on 08 October 2014 </w:t>
      </w:r>
      <w:r w:rsidR="00C27FF0" w:rsidRPr="001A57E3">
        <w:rPr>
          <w:i/>
          <w:lang w:val="en-GB"/>
        </w:rPr>
        <w:t>On the approval of the project administration and financing rules</w:t>
      </w:r>
      <w:r w:rsidR="00C27FF0" w:rsidRPr="001A57E3">
        <w:rPr>
          <w:lang w:val="en-GB"/>
        </w:rPr>
        <w:t xml:space="preserve"> (hereinafter</w:t>
      </w:r>
      <w:r w:rsidR="00C27FF0" w:rsidRPr="001A57E3">
        <w:rPr>
          <w:cs/>
          <w:lang w:val="en-GB"/>
        </w:rPr>
        <w:t>—</w:t>
      </w:r>
      <w:r w:rsidR="00C27FF0" w:rsidRPr="001A57E3">
        <w:rPr>
          <w:lang w:val="en-GB"/>
        </w:rPr>
        <w:t>the Project Rules)</w:t>
      </w:r>
      <w:r w:rsidRPr="001A57E3">
        <w:rPr>
          <w:lang w:val="en-GB"/>
        </w:rPr>
        <w:t>;</w:t>
      </w:r>
    </w:p>
    <w:p w:rsidR="00420065" w:rsidRPr="001A57E3" w:rsidRDefault="00545694">
      <w:pPr>
        <w:ind w:firstLine="709"/>
        <w:jc w:val="both"/>
        <w:rPr>
          <w:lang w:val="en-GB"/>
        </w:rPr>
      </w:pPr>
      <w:r w:rsidRPr="001A57E3">
        <w:rPr>
          <w:spacing w:val="-2"/>
          <w:lang w:val="en-GB"/>
        </w:rPr>
        <w:t xml:space="preserve">2.3. </w:t>
      </w:r>
      <w:r w:rsidR="00EF72E5" w:rsidRPr="001A57E3">
        <w:rPr>
          <w:lang w:val="en-GB"/>
        </w:rPr>
        <w:t>Guidelines</w:t>
      </w:r>
      <w:r w:rsidR="00C27FF0" w:rsidRPr="001A57E3">
        <w:rPr>
          <w:lang w:val="en-GB"/>
        </w:rPr>
        <w:t xml:space="preserve"> of the calculation of monitoring indicators of the Operational Programme for the EU funds’ investments for 2014</w:t>
      </w:r>
      <w:r w:rsidR="00C27FF0" w:rsidRPr="001A57E3">
        <w:rPr>
          <w:cs/>
          <w:lang w:val="en-GB"/>
        </w:rPr>
        <w:t>–</w:t>
      </w:r>
      <w:r w:rsidR="00C27FF0" w:rsidRPr="001A57E3">
        <w:rPr>
          <w:lang w:val="en-GB"/>
        </w:rPr>
        <w:t xml:space="preserve">2020 approved by Order No 1K-499 of the Minister of Finance of the Republic of Lithuania on 30 December 2014 </w:t>
      </w:r>
      <w:r w:rsidR="00C27FF0" w:rsidRPr="001A57E3">
        <w:rPr>
          <w:i/>
          <w:lang w:val="en-GB"/>
        </w:rPr>
        <w:t xml:space="preserve">On the approval of the </w:t>
      </w:r>
      <w:r w:rsidR="00EF72E5" w:rsidRPr="001A57E3">
        <w:rPr>
          <w:i/>
          <w:lang w:val="en-GB"/>
        </w:rPr>
        <w:t>Guidelines</w:t>
      </w:r>
      <w:r w:rsidR="00C27FF0" w:rsidRPr="001A57E3">
        <w:rPr>
          <w:i/>
          <w:lang w:val="en-GB"/>
        </w:rPr>
        <w:t xml:space="preserve"> of the calculation of monitoring indicators of the Operational Programme for the EU funds’ investments for 2014</w:t>
      </w:r>
      <w:r w:rsidR="00C27FF0" w:rsidRPr="001A57E3">
        <w:rPr>
          <w:i/>
          <w:cs/>
          <w:lang w:val="en-GB"/>
        </w:rPr>
        <w:t>–</w:t>
      </w:r>
      <w:r w:rsidR="00C27FF0" w:rsidRPr="001A57E3">
        <w:rPr>
          <w:i/>
          <w:lang w:val="en-GB"/>
        </w:rPr>
        <w:t>2020</w:t>
      </w:r>
      <w:r w:rsidR="00C27FF0" w:rsidRPr="001A57E3">
        <w:rPr>
          <w:lang w:val="en-GB"/>
        </w:rPr>
        <w:t xml:space="preserve"> (hereinafter</w:t>
      </w:r>
      <w:r w:rsidR="00C27FF0" w:rsidRPr="001A57E3">
        <w:rPr>
          <w:cs/>
          <w:lang w:val="en-GB"/>
        </w:rPr>
        <w:t xml:space="preserve">—the </w:t>
      </w:r>
      <w:r w:rsidR="00EF72E5" w:rsidRPr="001A57E3">
        <w:rPr>
          <w:lang w:val="en-GB"/>
        </w:rPr>
        <w:t>Guidelines</w:t>
      </w:r>
      <w:r w:rsidR="00C27FF0" w:rsidRPr="001A57E3">
        <w:rPr>
          <w:lang w:val="en-GB"/>
        </w:rPr>
        <w:t xml:space="preserve"> of the Calculation of Monitoring Indicators of the Operational Programme);</w:t>
      </w:r>
    </w:p>
    <w:p w:rsidR="00C27FF0" w:rsidRPr="001A57E3" w:rsidRDefault="00545694">
      <w:pPr>
        <w:ind w:firstLine="709"/>
        <w:jc w:val="both"/>
        <w:rPr>
          <w:szCs w:val="24"/>
          <w:lang w:val="en-GB"/>
        </w:rPr>
      </w:pPr>
      <w:r w:rsidRPr="001A57E3">
        <w:rPr>
          <w:szCs w:val="24"/>
          <w:lang w:val="en-GB"/>
        </w:rPr>
        <w:t xml:space="preserve">2.4. </w:t>
      </w:r>
      <w:r w:rsidR="00C27FF0" w:rsidRPr="001A57E3">
        <w:rPr>
          <w:szCs w:val="24"/>
          <w:lang w:val="en-GB"/>
        </w:rPr>
        <w:t>The Programme on the Implementation of Priority Areas of Research and (social, cultural) Development and Innovations (smart specialization) and their Priorities</w:t>
      </w:r>
      <w:r w:rsidR="006D2450" w:rsidRPr="001A57E3">
        <w:rPr>
          <w:szCs w:val="24"/>
          <w:lang w:val="en-GB"/>
        </w:rPr>
        <w:t xml:space="preserve">, </w:t>
      </w:r>
      <w:r w:rsidR="00C27FF0" w:rsidRPr="001A57E3">
        <w:rPr>
          <w:szCs w:val="24"/>
          <w:lang w:val="en-GB"/>
        </w:rPr>
        <w:t xml:space="preserve">approved by Resolution No. 411 of the Government of the Republic of Lithuania on 30 April 2014 </w:t>
      </w:r>
      <w:r w:rsidR="00C27FF0" w:rsidRPr="001A57E3">
        <w:rPr>
          <w:i/>
          <w:szCs w:val="24"/>
          <w:cs/>
          <w:lang w:val="en-GB"/>
        </w:rPr>
        <w:t>O</w:t>
      </w:r>
      <w:r w:rsidR="00C27FF0" w:rsidRPr="001A57E3">
        <w:rPr>
          <w:i/>
          <w:szCs w:val="24"/>
          <w:lang w:val="en-GB"/>
        </w:rPr>
        <w:t xml:space="preserve">n the </w:t>
      </w:r>
      <w:r w:rsidR="00C27FF0" w:rsidRPr="001A57E3">
        <w:rPr>
          <w:i/>
          <w:szCs w:val="24"/>
          <w:lang w:val="en-GB"/>
        </w:rPr>
        <w:lastRenderedPageBreak/>
        <w:t xml:space="preserve">approval of the </w:t>
      </w:r>
      <w:r w:rsidR="00123501" w:rsidRPr="001A57E3">
        <w:rPr>
          <w:i/>
          <w:szCs w:val="24"/>
          <w:lang w:val="en-GB"/>
        </w:rPr>
        <w:t>programme</w:t>
      </w:r>
      <w:r w:rsidR="00C27FF0" w:rsidRPr="001A57E3">
        <w:rPr>
          <w:i/>
          <w:szCs w:val="24"/>
          <w:lang w:val="en-GB"/>
        </w:rPr>
        <w:t xml:space="preserve"> on the implementation of priority areas of research and (social, cultural) development and innovations (smart specialisation) and their priorities</w:t>
      </w:r>
      <w:r w:rsidR="00C27FF0" w:rsidRPr="001A57E3">
        <w:rPr>
          <w:szCs w:val="24"/>
          <w:cs/>
          <w:lang w:val="en-GB"/>
        </w:rPr>
        <w:t xml:space="preserve"> </w:t>
      </w:r>
      <w:r w:rsidR="00C27FF0" w:rsidRPr="001A57E3">
        <w:rPr>
          <w:szCs w:val="24"/>
          <w:lang w:val="en-GB"/>
        </w:rPr>
        <w:t>(hereinafter</w:t>
      </w:r>
      <w:r w:rsidR="00C27FF0" w:rsidRPr="001A57E3">
        <w:rPr>
          <w:szCs w:val="24"/>
          <w:cs/>
          <w:lang w:val="en-GB"/>
        </w:rPr>
        <w:t xml:space="preserve">—the </w:t>
      </w:r>
      <w:r w:rsidR="00C27FF0" w:rsidRPr="001A57E3">
        <w:rPr>
          <w:szCs w:val="24"/>
          <w:lang w:val="en-GB"/>
        </w:rPr>
        <w:t>Smart Specialisation Programme)</w:t>
      </w:r>
    </w:p>
    <w:p w:rsidR="00420065" w:rsidRPr="001A57E3" w:rsidRDefault="00545694">
      <w:pPr>
        <w:ind w:firstLine="709"/>
        <w:jc w:val="both"/>
        <w:rPr>
          <w:szCs w:val="24"/>
          <w:lang w:val="en-GB"/>
        </w:rPr>
      </w:pPr>
      <w:r w:rsidRPr="001A57E3">
        <w:rPr>
          <w:szCs w:val="24"/>
          <w:lang w:val="en-GB"/>
        </w:rPr>
        <w:t xml:space="preserve">2.5. </w:t>
      </w:r>
      <w:r w:rsidR="00BB257B" w:rsidRPr="001A57E3">
        <w:rPr>
          <w:szCs w:val="24"/>
          <w:lang w:val="en-GB"/>
        </w:rPr>
        <w:t>Commission Regulation (EU) No 651/2014 on 17 June 2014 declaring certain categories of aid compatible with the internal market in application of Articles 107 and 108 of the Treaty (OJ 2014 L 187, p.1</w:t>
      </w:r>
      <w:r w:rsidRPr="001A57E3">
        <w:rPr>
          <w:szCs w:val="24"/>
          <w:lang w:val="en-GB"/>
        </w:rPr>
        <w:t>–78) (</w:t>
      </w:r>
      <w:r w:rsidR="00BB257B" w:rsidRPr="001A57E3">
        <w:rPr>
          <w:szCs w:val="24"/>
          <w:lang w:val="en-GB"/>
        </w:rPr>
        <w:t>hereinafter—Regulation (EU) No</w:t>
      </w:r>
      <w:r w:rsidRPr="001A57E3">
        <w:rPr>
          <w:szCs w:val="24"/>
          <w:lang w:val="en-GB"/>
        </w:rPr>
        <w:t>. 651/2014);</w:t>
      </w:r>
    </w:p>
    <w:p w:rsidR="00420065" w:rsidRPr="001A57E3" w:rsidRDefault="00545694">
      <w:pPr>
        <w:ind w:firstLine="709"/>
        <w:jc w:val="both"/>
        <w:rPr>
          <w:szCs w:val="24"/>
          <w:lang w:val="en-GB"/>
        </w:rPr>
      </w:pPr>
      <w:r w:rsidRPr="001A57E3">
        <w:rPr>
          <w:szCs w:val="24"/>
          <w:lang w:val="en-GB"/>
        </w:rPr>
        <w:t xml:space="preserve">2.6. </w:t>
      </w:r>
      <w:r w:rsidR="00BB257B" w:rsidRPr="001A57E3">
        <w:rPr>
          <w:szCs w:val="24"/>
          <w:lang w:val="en-GB"/>
        </w:rPr>
        <w:t>Communication from the Commission No. 2014/C198/01 of 27 June 2014</w:t>
      </w:r>
      <w:r w:rsidR="00BB257B" w:rsidRPr="001A57E3">
        <w:rPr>
          <w:szCs w:val="24"/>
          <w:cs/>
          <w:lang w:val="en-GB"/>
        </w:rPr>
        <w:t xml:space="preserve"> </w:t>
      </w:r>
      <w:r w:rsidR="00BB257B" w:rsidRPr="001A57E3">
        <w:rPr>
          <w:szCs w:val="24"/>
          <w:lang w:val="en-GB"/>
        </w:rPr>
        <w:t>“Framework for State aid for research and development and innovation” (hereinafter</w:t>
      </w:r>
      <w:r w:rsidR="00BB257B" w:rsidRPr="001A57E3">
        <w:rPr>
          <w:szCs w:val="24"/>
          <w:cs/>
          <w:lang w:val="en-GB"/>
        </w:rPr>
        <w:t>—</w:t>
      </w:r>
      <w:r w:rsidR="00BB257B" w:rsidRPr="001A57E3">
        <w:rPr>
          <w:szCs w:val="24"/>
          <w:lang w:val="en-GB"/>
        </w:rPr>
        <w:t>Communication No. 2014/C198/01)</w:t>
      </w:r>
      <w:r w:rsidRPr="001A57E3">
        <w:rPr>
          <w:szCs w:val="24"/>
          <w:lang w:val="en-GB"/>
        </w:rPr>
        <w:t>;</w:t>
      </w:r>
    </w:p>
    <w:p w:rsidR="00420065" w:rsidRPr="001A57E3" w:rsidRDefault="00545694" w:rsidP="006D2450">
      <w:pPr>
        <w:ind w:firstLine="709"/>
        <w:jc w:val="both"/>
        <w:rPr>
          <w:szCs w:val="24"/>
          <w:lang w:val="en-GB"/>
        </w:rPr>
      </w:pPr>
      <w:r w:rsidRPr="001A57E3">
        <w:rPr>
          <w:szCs w:val="24"/>
          <w:lang w:val="en-GB"/>
        </w:rPr>
        <w:t xml:space="preserve">2.7. </w:t>
      </w:r>
      <w:r w:rsidR="00BB257B" w:rsidRPr="001A57E3">
        <w:rPr>
          <w:szCs w:val="24"/>
          <w:lang w:val="en-GB"/>
        </w:rPr>
        <w:t xml:space="preserve">The priority project selection criteria of the activity </w:t>
      </w:r>
      <w:r w:rsidR="00BB257B" w:rsidRPr="001A57E3">
        <w:rPr>
          <w:i/>
          <w:szCs w:val="24"/>
          <w:lang w:val="en-GB"/>
        </w:rPr>
        <w:t xml:space="preserve">Attracting scientists from abroad to carry out research aimed at developing results in line with R&amp;D topics relevant to the economic sectors, which could then be </w:t>
      </w:r>
      <w:r w:rsidR="00A47C61" w:rsidRPr="001A57E3">
        <w:rPr>
          <w:i/>
          <w:szCs w:val="24"/>
          <w:lang w:val="en-GB"/>
        </w:rPr>
        <w:t>commercialis</w:t>
      </w:r>
      <w:r w:rsidR="00BB257B" w:rsidRPr="001A57E3">
        <w:rPr>
          <w:i/>
          <w:szCs w:val="24"/>
          <w:lang w:val="en-GB"/>
        </w:rPr>
        <w:t>ed</w:t>
      </w:r>
      <w:r w:rsidR="00BB257B" w:rsidRPr="001A57E3">
        <w:rPr>
          <w:szCs w:val="24"/>
          <w:lang w:val="en-GB"/>
        </w:rPr>
        <w:t xml:space="preserve"> under the Measure </w:t>
      </w:r>
      <w:r w:rsidR="00BB257B" w:rsidRPr="001A57E3">
        <w:rPr>
          <w:i/>
          <w:szCs w:val="24"/>
          <w:lang w:val="en-GB"/>
        </w:rPr>
        <w:t>Targeted Research in Smart Specialization Areas</w:t>
      </w:r>
      <w:r w:rsidR="00BB257B" w:rsidRPr="001A57E3">
        <w:rPr>
          <w:szCs w:val="24"/>
          <w:lang w:val="en-GB"/>
        </w:rPr>
        <w:t xml:space="preserve">, approved by </w:t>
      </w:r>
      <w:r w:rsidR="006D2450" w:rsidRPr="001A57E3">
        <w:rPr>
          <w:szCs w:val="24"/>
          <w:lang w:val="en-GB"/>
        </w:rPr>
        <w:t>Resolution</w:t>
      </w:r>
      <w:r w:rsidR="00BB257B" w:rsidRPr="001A57E3">
        <w:rPr>
          <w:szCs w:val="24"/>
          <w:lang w:val="en-GB"/>
        </w:rPr>
        <w:t xml:space="preserve"> No. 44P-16.1(18) of 16 June 2016 of the meeting of the Monitoring Committee of the Operational Programme for the EU Funds’ Investments for 2014</w:t>
      </w:r>
      <w:r w:rsidR="00BB257B" w:rsidRPr="001A57E3">
        <w:rPr>
          <w:szCs w:val="24"/>
          <w:cs/>
          <w:lang w:val="en-GB"/>
        </w:rPr>
        <w:t>–</w:t>
      </w:r>
      <w:r w:rsidR="00BB257B" w:rsidRPr="001A57E3">
        <w:rPr>
          <w:szCs w:val="24"/>
          <w:lang w:val="en-GB"/>
        </w:rPr>
        <w:t>2020</w:t>
      </w:r>
      <w:r w:rsidR="006D2450" w:rsidRPr="001A57E3">
        <w:rPr>
          <w:szCs w:val="24"/>
          <w:lang w:val="en-GB"/>
        </w:rPr>
        <w:t xml:space="preserve"> and revised by Resolution No. 44P-18.1 of the meeting of 13 October 2016;</w:t>
      </w:r>
    </w:p>
    <w:p w:rsidR="00420065" w:rsidRPr="001A57E3" w:rsidRDefault="00545694">
      <w:pPr>
        <w:ind w:firstLine="709"/>
        <w:jc w:val="both"/>
        <w:rPr>
          <w:szCs w:val="24"/>
          <w:lang w:val="en-GB"/>
        </w:rPr>
      </w:pPr>
      <w:r w:rsidRPr="001A57E3">
        <w:rPr>
          <w:szCs w:val="24"/>
          <w:lang w:val="en-GB"/>
        </w:rPr>
        <w:t>2.</w:t>
      </w:r>
      <w:r w:rsidR="00E81ACC" w:rsidRPr="001A57E3">
        <w:rPr>
          <w:szCs w:val="24"/>
          <w:lang w:val="en-GB"/>
        </w:rPr>
        <w:t>8</w:t>
      </w:r>
      <w:r w:rsidRPr="001A57E3">
        <w:rPr>
          <w:szCs w:val="24"/>
          <w:lang w:val="en-GB"/>
        </w:rPr>
        <w:t xml:space="preserve">. </w:t>
      </w:r>
      <w:r w:rsidR="006D2450" w:rsidRPr="001A57E3">
        <w:rPr>
          <w:szCs w:val="24"/>
          <w:lang w:val="en-GB"/>
        </w:rPr>
        <w:t>The Law on Higher Education and Research of the Republic of Lithuania</w:t>
      </w:r>
      <w:r w:rsidRPr="001A57E3">
        <w:rPr>
          <w:szCs w:val="24"/>
          <w:lang w:val="en-GB"/>
        </w:rPr>
        <w:t>;</w:t>
      </w:r>
    </w:p>
    <w:p w:rsidR="00420065" w:rsidRPr="001A57E3" w:rsidRDefault="00545694">
      <w:pPr>
        <w:ind w:firstLine="709"/>
        <w:jc w:val="both"/>
        <w:rPr>
          <w:szCs w:val="24"/>
          <w:lang w:val="en-GB"/>
        </w:rPr>
      </w:pPr>
      <w:r w:rsidRPr="001A57E3">
        <w:rPr>
          <w:szCs w:val="24"/>
          <w:lang w:val="en-GB"/>
        </w:rPr>
        <w:t>2.</w:t>
      </w:r>
      <w:r w:rsidR="00E81ACC" w:rsidRPr="001A57E3">
        <w:rPr>
          <w:szCs w:val="24"/>
          <w:lang w:val="en-GB"/>
        </w:rPr>
        <w:t>9</w:t>
      </w:r>
      <w:r w:rsidRPr="001A57E3">
        <w:rPr>
          <w:szCs w:val="24"/>
          <w:lang w:val="en-GB"/>
        </w:rPr>
        <w:t xml:space="preserve">. </w:t>
      </w:r>
      <w:r w:rsidR="006D2450" w:rsidRPr="001A57E3">
        <w:rPr>
          <w:szCs w:val="24"/>
          <w:lang w:val="en-GB"/>
        </w:rPr>
        <w:t>The Recommendations regarding the compliance of project expenses with the requirements of structural funds of the European Union, approved by the Operational Programme for Human Resources Development, the Economic Development Operational Programme, the Cohesion Promotion Operational Programme, and by Minutes No 34 of the Steering committee of the Operational Programme for the EU funds’ investments for 2014</w:t>
      </w:r>
      <w:r w:rsidR="006D2450" w:rsidRPr="001A57E3">
        <w:rPr>
          <w:szCs w:val="24"/>
          <w:cs/>
          <w:lang w:val="en-GB"/>
        </w:rPr>
        <w:t>–</w:t>
      </w:r>
      <w:r w:rsidR="006D2450" w:rsidRPr="001A57E3">
        <w:rPr>
          <w:szCs w:val="24"/>
          <w:lang w:val="en-GB"/>
        </w:rPr>
        <w:t>2020 on 4 July 2014, and published at the EU structural funds</w:t>
      </w:r>
      <w:r w:rsidR="006D2450" w:rsidRPr="001A57E3">
        <w:rPr>
          <w:szCs w:val="24"/>
          <w:cs/>
          <w:lang w:val="en-GB"/>
        </w:rPr>
        <w:t xml:space="preserve">’ </w:t>
      </w:r>
      <w:r w:rsidR="006D2450" w:rsidRPr="001A57E3">
        <w:rPr>
          <w:szCs w:val="24"/>
          <w:lang w:val="en-GB"/>
        </w:rPr>
        <w:t xml:space="preserve">website </w:t>
      </w:r>
      <w:hyperlink r:id="rId12" w:history="1">
        <w:r w:rsidR="006D2450" w:rsidRPr="001A57E3">
          <w:rPr>
            <w:rStyle w:val="Hyperlink"/>
            <w:color w:val="000000"/>
            <w:szCs w:val="24"/>
            <w:lang w:val="en-GB"/>
          </w:rPr>
          <w:t>www.esinvesticijos.lt</w:t>
        </w:r>
      </w:hyperlink>
      <w:r w:rsidR="006D2450" w:rsidRPr="001A57E3">
        <w:rPr>
          <w:szCs w:val="24"/>
          <w:lang w:val="en-GB"/>
        </w:rPr>
        <w:t xml:space="preserve"> (hereinafter</w:t>
      </w:r>
      <w:r w:rsidR="006D2450" w:rsidRPr="001A57E3">
        <w:rPr>
          <w:szCs w:val="24"/>
          <w:cs/>
          <w:lang w:val="en-GB"/>
        </w:rPr>
        <w:t xml:space="preserve">—the </w:t>
      </w:r>
      <w:r w:rsidR="006D2450" w:rsidRPr="001A57E3">
        <w:rPr>
          <w:szCs w:val="24"/>
          <w:lang w:val="en-GB"/>
        </w:rPr>
        <w:t>Recommendations regarding the compliance of project expenses with the requirements of the European Union structural funds</w:t>
      </w:r>
      <w:r w:rsidRPr="001A57E3">
        <w:rPr>
          <w:szCs w:val="24"/>
          <w:lang w:val="en-GB" w:eastAsia="lt-LT"/>
        </w:rPr>
        <w:t>);</w:t>
      </w:r>
    </w:p>
    <w:p w:rsidR="00420065" w:rsidRPr="001A57E3" w:rsidRDefault="00545694">
      <w:pPr>
        <w:ind w:firstLine="709"/>
        <w:jc w:val="both"/>
        <w:rPr>
          <w:szCs w:val="24"/>
          <w:lang w:val="en-GB"/>
        </w:rPr>
      </w:pPr>
      <w:r w:rsidRPr="001A57E3">
        <w:rPr>
          <w:szCs w:val="24"/>
          <w:lang w:val="en-GB"/>
        </w:rPr>
        <w:t>2.</w:t>
      </w:r>
      <w:r w:rsidR="00E81ACC" w:rsidRPr="001A57E3">
        <w:rPr>
          <w:szCs w:val="24"/>
          <w:lang w:val="en-GB"/>
        </w:rPr>
        <w:t>10</w:t>
      </w:r>
      <w:r w:rsidRPr="001A57E3">
        <w:rPr>
          <w:szCs w:val="24"/>
          <w:lang w:val="en-GB"/>
        </w:rPr>
        <w:t>.</w:t>
      </w:r>
      <w:r w:rsidRPr="001A57E3">
        <w:rPr>
          <w:sz w:val="22"/>
          <w:szCs w:val="22"/>
          <w:lang w:val="en-GB"/>
        </w:rPr>
        <w:t xml:space="preserve"> </w:t>
      </w:r>
      <w:r w:rsidR="006D2450" w:rsidRPr="001A57E3">
        <w:rPr>
          <w:szCs w:val="24"/>
          <w:lang w:val="en-GB"/>
        </w:rPr>
        <w:t>The model lists of eligible research and/or technological production of research and dissemination projects approved by Order No. V-2017 of the Chairman of the Research Council of the Republic of Lithuania on 31 October 2014 Regarding the approval of the model lists of eligible research and/or technological production of research and dissemination projects (hereinafter</w:t>
      </w:r>
      <w:r w:rsidR="00123501" w:rsidRPr="001A57E3">
        <w:rPr>
          <w:szCs w:val="24"/>
          <w:lang w:val="en-GB"/>
        </w:rPr>
        <w:t>—</w:t>
      </w:r>
      <w:r w:rsidR="006D2450" w:rsidRPr="001A57E3">
        <w:rPr>
          <w:szCs w:val="24"/>
          <w:lang w:val="en-GB"/>
        </w:rPr>
        <w:t>the Model lists of eligible research and/or technological production of research and dissemination projects);</w:t>
      </w:r>
    </w:p>
    <w:p w:rsidR="00420065" w:rsidRPr="001A57E3" w:rsidRDefault="00545694">
      <w:pPr>
        <w:ind w:firstLine="709"/>
        <w:jc w:val="both"/>
        <w:rPr>
          <w:szCs w:val="24"/>
          <w:lang w:val="en-GB"/>
        </w:rPr>
      </w:pPr>
      <w:r w:rsidRPr="001A57E3">
        <w:rPr>
          <w:szCs w:val="24"/>
          <w:lang w:val="en-GB"/>
        </w:rPr>
        <w:t>2.</w:t>
      </w:r>
      <w:r w:rsidR="00E81ACC" w:rsidRPr="001A57E3">
        <w:rPr>
          <w:szCs w:val="24"/>
          <w:lang w:val="en-GB"/>
        </w:rPr>
        <w:t>11</w:t>
      </w:r>
      <w:r w:rsidRPr="001A57E3">
        <w:rPr>
          <w:szCs w:val="24"/>
          <w:lang w:val="en-GB"/>
        </w:rPr>
        <w:t xml:space="preserve">. </w:t>
      </w:r>
      <w:r w:rsidR="00844647" w:rsidRPr="001A57E3">
        <w:rPr>
          <w:szCs w:val="24"/>
          <w:lang w:val="en-GB"/>
        </w:rPr>
        <w:t xml:space="preserve">General rules for the activities of experts of the Research Council of Lithuania, approved by </w:t>
      </w:r>
      <w:r w:rsidR="002B34DF" w:rsidRPr="001A57E3">
        <w:rPr>
          <w:szCs w:val="24"/>
          <w:lang w:val="en-GB"/>
        </w:rPr>
        <w:t xml:space="preserve">Order </w:t>
      </w:r>
      <w:r w:rsidR="006D2450" w:rsidRPr="001A57E3">
        <w:rPr>
          <w:szCs w:val="24"/>
          <w:lang w:val="en-GB"/>
        </w:rPr>
        <w:t xml:space="preserve">No. </w:t>
      </w:r>
      <w:r w:rsidR="002B34DF" w:rsidRPr="001A57E3">
        <w:rPr>
          <w:szCs w:val="24"/>
          <w:lang w:val="en-GB"/>
        </w:rPr>
        <w:t>V-42</w:t>
      </w:r>
      <w:r w:rsidR="006D2450" w:rsidRPr="001A57E3">
        <w:rPr>
          <w:szCs w:val="24"/>
          <w:lang w:val="en-GB"/>
        </w:rPr>
        <w:t xml:space="preserve"> of the </w:t>
      </w:r>
      <w:r w:rsidR="002B34DF" w:rsidRPr="001A57E3">
        <w:rPr>
          <w:szCs w:val="24"/>
          <w:lang w:val="en-GB"/>
        </w:rPr>
        <w:t xml:space="preserve">Chairman of the </w:t>
      </w:r>
      <w:r w:rsidR="006D2450" w:rsidRPr="001A57E3">
        <w:rPr>
          <w:szCs w:val="24"/>
          <w:lang w:val="en-GB"/>
        </w:rPr>
        <w:t xml:space="preserve">Research Council of Lithuania on </w:t>
      </w:r>
      <w:r w:rsidR="002B34DF" w:rsidRPr="001A57E3">
        <w:rPr>
          <w:szCs w:val="24"/>
          <w:lang w:val="en-GB"/>
        </w:rPr>
        <w:t xml:space="preserve">29 January 2018 </w:t>
      </w:r>
      <w:r w:rsidR="006D2450" w:rsidRPr="001A57E3">
        <w:rPr>
          <w:szCs w:val="24"/>
          <w:lang w:val="en-GB"/>
        </w:rPr>
        <w:t>(hereinafter</w:t>
      </w:r>
      <w:r w:rsidR="006D2450" w:rsidRPr="001A57E3">
        <w:rPr>
          <w:szCs w:val="24"/>
          <w:cs/>
          <w:lang w:val="en-GB"/>
        </w:rPr>
        <w:t xml:space="preserve">—the </w:t>
      </w:r>
      <w:r w:rsidR="006D2450" w:rsidRPr="001A57E3">
        <w:rPr>
          <w:szCs w:val="24"/>
          <w:lang w:val="en-GB"/>
        </w:rPr>
        <w:t>Expert Appointment Rules);</w:t>
      </w:r>
      <w:r w:rsidRPr="001A57E3">
        <w:rPr>
          <w:szCs w:val="24"/>
          <w:lang w:val="en-GB"/>
        </w:rPr>
        <w:t xml:space="preserve"> </w:t>
      </w:r>
    </w:p>
    <w:p w:rsidR="00420065" w:rsidRPr="001A57E3" w:rsidRDefault="00545694">
      <w:pPr>
        <w:ind w:firstLine="709"/>
        <w:jc w:val="both"/>
        <w:rPr>
          <w:szCs w:val="24"/>
          <w:lang w:val="en-GB"/>
        </w:rPr>
      </w:pPr>
      <w:r w:rsidRPr="001A57E3">
        <w:rPr>
          <w:szCs w:val="24"/>
          <w:lang w:val="en-GB"/>
        </w:rPr>
        <w:t>2.</w:t>
      </w:r>
      <w:r w:rsidR="00E81ACC" w:rsidRPr="001A57E3">
        <w:rPr>
          <w:szCs w:val="24"/>
          <w:lang w:val="en-GB"/>
        </w:rPr>
        <w:t>12</w:t>
      </w:r>
      <w:r w:rsidRPr="001A57E3">
        <w:rPr>
          <w:szCs w:val="24"/>
          <w:lang w:val="en-GB"/>
        </w:rPr>
        <w:t xml:space="preserve">. </w:t>
      </w:r>
      <w:r w:rsidR="006D2450" w:rsidRPr="001A57E3">
        <w:rPr>
          <w:szCs w:val="24"/>
          <w:lang w:val="en-GB"/>
        </w:rPr>
        <w:t xml:space="preserve">The Regulation for the Annual Evaluation of Research and Development and Arts Activities by Universities and Research Institutes, approved by the Order of the Minister of Education and Science of the Republic of Lithuania of 04 October 2017 No. </w:t>
      </w:r>
      <w:proofErr w:type="gramStart"/>
      <w:r w:rsidR="006D2450" w:rsidRPr="001A57E3">
        <w:rPr>
          <w:szCs w:val="24"/>
          <w:lang w:val="en-GB"/>
        </w:rPr>
        <w:t xml:space="preserve">V-747 </w:t>
      </w:r>
      <w:r w:rsidR="006D2450" w:rsidRPr="001A57E3">
        <w:rPr>
          <w:i/>
          <w:szCs w:val="24"/>
          <w:lang w:val="en-GB"/>
        </w:rPr>
        <w:t>On the approval of the Annual Evaluation of Research and Development and Arts Activities by Universities and Research Institutes</w:t>
      </w:r>
      <w:r w:rsidR="006D2450" w:rsidRPr="001A57E3">
        <w:rPr>
          <w:szCs w:val="24"/>
          <w:lang w:val="en-GB"/>
        </w:rPr>
        <w:t xml:space="preserve"> (hereinafter—the Annual Evaluation Regulation)</w:t>
      </w:r>
      <w:r w:rsidRPr="001A57E3">
        <w:rPr>
          <w:szCs w:val="24"/>
          <w:lang w:val="en-GB"/>
        </w:rPr>
        <w:t>.</w:t>
      </w:r>
      <w:proofErr w:type="gramEnd"/>
    </w:p>
    <w:p w:rsidR="00420065" w:rsidRPr="001A57E3" w:rsidRDefault="00545694">
      <w:pPr>
        <w:ind w:firstLine="709"/>
        <w:jc w:val="both"/>
        <w:rPr>
          <w:szCs w:val="24"/>
          <w:lang w:val="en-GB"/>
        </w:rPr>
      </w:pPr>
      <w:r w:rsidRPr="001A57E3">
        <w:rPr>
          <w:lang w:val="en-GB"/>
        </w:rPr>
        <w:t xml:space="preserve">3. </w:t>
      </w:r>
      <w:r w:rsidR="006D2450" w:rsidRPr="001A57E3">
        <w:rPr>
          <w:lang w:val="en-GB"/>
        </w:rPr>
        <w:t xml:space="preserve">The </w:t>
      </w:r>
      <w:r w:rsidR="003E10BC" w:rsidRPr="001A57E3">
        <w:rPr>
          <w:lang w:val="en-GB"/>
        </w:rPr>
        <w:t>terms</w:t>
      </w:r>
      <w:r w:rsidR="006D2450" w:rsidRPr="001A57E3">
        <w:rPr>
          <w:lang w:val="en-GB"/>
        </w:rPr>
        <w:t xml:space="preserve"> used </w:t>
      </w:r>
      <w:r w:rsidR="0061429E" w:rsidRPr="001A57E3">
        <w:rPr>
          <w:lang w:val="en-GB"/>
        </w:rPr>
        <w:t>i</w:t>
      </w:r>
      <w:r w:rsidR="00A47C61" w:rsidRPr="001A57E3">
        <w:rPr>
          <w:lang w:val="en-GB"/>
        </w:rPr>
        <w:t xml:space="preserve">n the </w:t>
      </w:r>
      <w:r w:rsidR="00EF72E5" w:rsidRPr="001A57E3">
        <w:rPr>
          <w:lang w:val="en-GB"/>
        </w:rPr>
        <w:t>Guidelines</w:t>
      </w:r>
      <w:r w:rsidR="0061429E" w:rsidRPr="001A57E3">
        <w:rPr>
          <w:lang w:val="en-GB"/>
        </w:rPr>
        <w:t xml:space="preserve"> </w:t>
      </w:r>
      <w:r w:rsidR="006D2450" w:rsidRPr="001A57E3">
        <w:rPr>
          <w:lang w:val="en-GB"/>
        </w:rPr>
        <w:t xml:space="preserve">shall be interpreted as defined in the legal acts referred to in Article 2 of the </w:t>
      </w:r>
      <w:r w:rsidR="00EF72E5" w:rsidRPr="001A57E3">
        <w:rPr>
          <w:lang w:val="en-GB"/>
        </w:rPr>
        <w:t>Guidelines</w:t>
      </w:r>
      <w:r w:rsidR="006D2450" w:rsidRPr="001A57E3">
        <w:rPr>
          <w:lang w:val="en-GB"/>
        </w:rPr>
        <w:t xml:space="preserve">, the </w:t>
      </w:r>
      <w:r w:rsidR="006D2450" w:rsidRPr="001A57E3">
        <w:rPr>
          <w:i/>
          <w:lang w:val="en-GB"/>
        </w:rPr>
        <w:t>Rules on allocation of responsibility and functions among institutions while implementing the Operational Programme for the EU funds’ investments for 2014</w:t>
      </w:r>
      <w:r w:rsidR="006D2450" w:rsidRPr="001A57E3">
        <w:rPr>
          <w:i/>
          <w:cs/>
          <w:lang w:val="en-GB"/>
        </w:rPr>
        <w:t>–</w:t>
      </w:r>
      <w:r w:rsidR="006D2450" w:rsidRPr="001A57E3">
        <w:rPr>
          <w:i/>
          <w:lang w:val="en-GB"/>
        </w:rPr>
        <w:t>2020</w:t>
      </w:r>
      <w:r w:rsidR="003E10BC" w:rsidRPr="001A57E3">
        <w:rPr>
          <w:lang w:val="en-GB"/>
        </w:rPr>
        <w:t>,</w:t>
      </w:r>
      <w:r w:rsidR="006D2450" w:rsidRPr="001A57E3">
        <w:rPr>
          <w:lang w:val="en-GB"/>
        </w:rPr>
        <w:t xml:space="preserve">  approved by Resolution No. 528 of the Government of the Republic of Lithuania on 04 June 2014 </w:t>
      </w:r>
      <w:r w:rsidR="006D2450" w:rsidRPr="001A57E3">
        <w:rPr>
          <w:i/>
          <w:lang w:val="en-GB"/>
        </w:rPr>
        <w:t xml:space="preserve">Regarding allocation of responsibility and functions among institutions while implementing the Operational Programme for the EU </w:t>
      </w:r>
      <w:r w:rsidR="003E10BC" w:rsidRPr="001A57E3">
        <w:rPr>
          <w:i/>
          <w:lang w:val="en-GB"/>
        </w:rPr>
        <w:t>funds’</w:t>
      </w:r>
      <w:r w:rsidR="006D2450" w:rsidRPr="001A57E3">
        <w:rPr>
          <w:i/>
          <w:lang w:val="en-GB"/>
        </w:rPr>
        <w:t xml:space="preserve"> investments for 2014</w:t>
      </w:r>
      <w:r w:rsidR="006D2450" w:rsidRPr="001A57E3">
        <w:rPr>
          <w:i/>
          <w:cs/>
          <w:lang w:val="en-GB"/>
        </w:rPr>
        <w:t>–</w:t>
      </w:r>
      <w:r w:rsidR="006D2450" w:rsidRPr="001A57E3">
        <w:rPr>
          <w:i/>
          <w:lang w:val="en-GB"/>
        </w:rPr>
        <w:t>2020, and the Rules on the administration of the Operational Programme for the EU funds’ investments for 2014</w:t>
      </w:r>
      <w:r w:rsidR="006D2450" w:rsidRPr="001A57E3">
        <w:rPr>
          <w:i/>
          <w:cs/>
          <w:lang w:val="en-GB"/>
        </w:rPr>
        <w:t>–</w:t>
      </w:r>
      <w:r w:rsidR="006D2450" w:rsidRPr="001A57E3">
        <w:rPr>
          <w:i/>
          <w:lang w:val="en-GB"/>
        </w:rPr>
        <w:t>2020</w:t>
      </w:r>
      <w:r w:rsidR="003E10BC" w:rsidRPr="001A57E3">
        <w:rPr>
          <w:lang w:val="en-GB"/>
        </w:rPr>
        <w:t>,</w:t>
      </w:r>
      <w:r w:rsidR="006D2450" w:rsidRPr="001A57E3">
        <w:rPr>
          <w:i/>
          <w:lang w:val="en-GB"/>
        </w:rPr>
        <w:t xml:space="preserve"> </w:t>
      </w:r>
      <w:r w:rsidR="006D2450" w:rsidRPr="001A57E3">
        <w:rPr>
          <w:lang w:val="en-GB"/>
        </w:rPr>
        <w:t xml:space="preserve">approved by Resolution No. 1090 of the Government of the Republic of Lithuania on 03 October 2014 </w:t>
      </w:r>
      <w:r w:rsidR="006D2450" w:rsidRPr="001A57E3">
        <w:rPr>
          <w:i/>
          <w:lang w:val="en-GB"/>
        </w:rPr>
        <w:t>On the approval of the Rules on the administration of the Operational Programme for the EU funds’ investments for 2014</w:t>
      </w:r>
      <w:r w:rsidR="006D2450" w:rsidRPr="001A57E3">
        <w:rPr>
          <w:i/>
          <w:cs/>
          <w:lang w:val="en-GB"/>
        </w:rPr>
        <w:t>–</w:t>
      </w:r>
      <w:r w:rsidR="006D2450" w:rsidRPr="001A57E3">
        <w:rPr>
          <w:i/>
          <w:lang w:val="en-GB"/>
        </w:rPr>
        <w:t>2020.</w:t>
      </w:r>
    </w:p>
    <w:p w:rsidR="00420065" w:rsidRPr="001A57E3" w:rsidRDefault="00545694">
      <w:pPr>
        <w:ind w:firstLine="709"/>
        <w:jc w:val="both"/>
        <w:rPr>
          <w:lang w:val="en-GB"/>
        </w:rPr>
      </w:pPr>
      <w:r w:rsidRPr="001A57E3">
        <w:rPr>
          <w:lang w:val="en-GB"/>
        </w:rPr>
        <w:t xml:space="preserve">4. </w:t>
      </w:r>
      <w:r w:rsidR="003E10BC" w:rsidRPr="001A57E3">
        <w:rPr>
          <w:lang w:val="en-GB"/>
        </w:rPr>
        <w:t xml:space="preserve">Other terms used in the </w:t>
      </w:r>
      <w:r w:rsidR="00EF72E5" w:rsidRPr="001A57E3">
        <w:rPr>
          <w:lang w:val="en-GB"/>
        </w:rPr>
        <w:t>Guidelines</w:t>
      </w:r>
      <w:r w:rsidRPr="001A57E3">
        <w:rPr>
          <w:lang w:val="en-GB"/>
        </w:rPr>
        <w:t>:</w:t>
      </w:r>
    </w:p>
    <w:p w:rsidR="007A0404" w:rsidRPr="001A57E3" w:rsidRDefault="007A0404">
      <w:pPr>
        <w:ind w:firstLine="709"/>
        <w:jc w:val="both"/>
        <w:rPr>
          <w:lang w:val="en-GB"/>
        </w:rPr>
      </w:pPr>
      <w:r w:rsidRPr="001A57E3">
        <w:rPr>
          <w:lang w:val="en-GB"/>
        </w:rPr>
        <w:t xml:space="preserve">4.1. </w:t>
      </w:r>
      <w:r w:rsidR="00B808B2" w:rsidRPr="001A57E3">
        <w:rPr>
          <w:b/>
          <w:lang w:val="en-GB"/>
        </w:rPr>
        <w:t>High-level/international research</w:t>
      </w:r>
      <w:r w:rsidR="00123501" w:rsidRPr="001A57E3">
        <w:rPr>
          <w:lang w:val="en-GB"/>
        </w:rPr>
        <w:t>—</w:t>
      </w:r>
      <w:r w:rsidR="00B808B2" w:rsidRPr="001A57E3">
        <w:t xml:space="preserve"> </w:t>
      </w:r>
      <w:r w:rsidR="00B808B2" w:rsidRPr="001A57E3">
        <w:rPr>
          <w:lang w:val="en-GB"/>
        </w:rPr>
        <w:t>research activities funded under the Measure and carried out by a research group</w:t>
      </w:r>
      <w:r w:rsidRPr="001A57E3">
        <w:rPr>
          <w:lang w:val="en-GB"/>
        </w:rPr>
        <w:t>.</w:t>
      </w:r>
    </w:p>
    <w:p w:rsidR="00420065" w:rsidRPr="001A57E3" w:rsidRDefault="00BB65AE" w:rsidP="00CF1464">
      <w:pPr>
        <w:ind w:firstLine="709"/>
        <w:jc w:val="both"/>
        <w:rPr>
          <w:lang w:val="en-GB"/>
        </w:rPr>
      </w:pPr>
      <w:r w:rsidRPr="001A57E3">
        <w:rPr>
          <w:lang w:val="en-GB"/>
        </w:rPr>
        <w:t>4.2</w:t>
      </w:r>
      <w:r w:rsidR="00545694" w:rsidRPr="001A57E3">
        <w:rPr>
          <w:lang w:val="en-GB"/>
        </w:rPr>
        <w:t xml:space="preserve">. </w:t>
      </w:r>
      <w:r w:rsidR="0061429E" w:rsidRPr="001A57E3">
        <w:rPr>
          <w:b/>
          <w:lang w:val="en-GB"/>
        </w:rPr>
        <w:t>Research group</w:t>
      </w:r>
      <w:r w:rsidR="00123501" w:rsidRPr="001A57E3">
        <w:rPr>
          <w:lang w:val="en-GB"/>
        </w:rPr>
        <w:t>—</w:t>
      </w:r>
      <w:r w:rsidR="0061429E" w:rsidRPr="001A57E3">
        <w:rPr>
          <w:lang w:val="en-GB"/>
        </w:rPr>
        <w:t>research leader for the project research, principal and non-principal members of the research group</w:t>
      </w:r>
      <w:r w:rsidR="00545694" w:rsidRPr="001A57E3">
        <w:rPr>
          <w:lang w:val="en-GB"/>
        </w:rPr>
        <w:t>;</w:t>
      </w:r>
    </w:p>
    <w:p w:rsidR="00420065" w:rsidRPr="001A57E3" w:rsidRDefault="00163EAE">
      <w:pPr>
        <w:ind w:firstLine="709"/>
        <w:jc w:val="both"/>
        <w:rPr>
          <w:szCs w:val="24"/>
          <w:lang w:val="en-GB"/>
        </w:rPr>
      </w:pPr>
      <w:r w:rsidRPr="001A57E3">
        <w:rPr>
          <w:szCs w:val="24"/>
          <w:lang w:val="en-GB"/>
        </w:rPr>
        <w:t>4.3</w:t>
      </w:r>
      <w:r w:rsidR="00545694" w:rsidRPr="001A57E3">
        <w:rPr>
          <w:szCs w:val="24"/>
          <w:lang w:val="en-GB"/>
        </w:rPr>
        <w:t>.</w:t>
      </w:r>
      <w:r w:rsidR="00545694" w:rsidRPr="001A57E3">
        <w:rPr>
          <w:b/>
          <w:szCs w:val="24"/>
          <w:lang w:val="en-GB"/>
        </w:rPr>
        <w:t xml:space="preserve"> </w:t>
      </w:r>
      <w:r w:rsidR="00B808B2" w:rsidRPr="001A57E3">
        <w:rPr>
          <w:b/>
          <w:szCs w:val="24"/>
          <w:lang w:val="en-US"/>
        </w:rPr>
        <w:t>Research leader</w:t>
      </w:r>
      <w:r w:rsidR="00123501" w:rsidRPr="001A57E3">
        <w:rPr>
          <w:szCs w:val="24"/>
          <w:lang w:val="en-GB"/>
        </w:rPr>
        <w:t>—</w:t>
      </w:r>
      <w:r w:rsidR="00B808B2" w:rsidRPr="001A57E3">
        <w:rPr>
          <w:szCs w:val="24"/>
          <w:lang w:val="en-GB"/>
        </w:rPr>
        <w:t>a researcher who has continuously worked abroad at least 5 years until the application submission deadline specified in the call and has come or is coming from abroad (having continuously worked in Lithuania for no more than 12 months until the application submission deadline specified in the call</w:t>
      </w:r>
      <w:r w:rsidR="00F67594" w:rsidRPr="001A57E3">
        <w:rPr>
          <w:szCs w:val="24"/>
          <w:lang w:val="en-GB"/>
        </w:rPr>
        <w:t>)</w:t>
      </w:r>
      <w:r w:rsidR="00545694" w:rsidRPr="001A57E3">
        <w:rPr>
          <w:szCs w:val="24"/>
          <w:lang w:val="en-GB"/>
        </w:rPr>
        <w:t xml:space="preserve">, </w:t>
      </w:r>
      <w:r w:rsidR="00B808B2" w:rsidRPr="001A57E3">
        <w:rPr>
          <w:szCs w:val="24"/>
          <w:lang w:val="en-GB"/>
        </w:rPr>
        <w:t>who, together with the research group members, implements the project and leads its implementation;</w:t>
      </w:r>
    </w:p>
    <w:p w:rsidR="00420065" w:rsidRPr="001A57E3" w:rsidRDefault="00163EAE">
      <w:pPr>
        <w:ind w:firstLine="709"/>
        <w:jc w:val="both"/>
        <w:rPr>
          <w:szCs w:val="24"/>
          <w:lang w:val="en-GB"/>
        </w:rPr>
      </w:pPr>
      <w:r w:rsidRPr="001A57E3">
        <w:rPr>
          <w:szCs w:val="24"/>
          <w:lang w:val="en-GB"/>
        </w:rPr>
        <w:t>4.4</w:t>
      </w:r>
      <w:r w:rsidR="00545694" w:rsidRPr="001A57E3">
        <w:rPr>
          <w:szCs w:val="24"/>
          <w:lang w:val="en-GB"/>
        </w:rPr>
        <w:t>.</w:t>
      </w:r>
      <w:r w:rsidR="00545694" w:rsidRPr="001A57E3">
        <w:rPr>
          <w:b/>
          <w:szCs w:val="24"/>
          <w:lang w:val="en-GB"/>
        </w:rPr>
        <w:t xml:space="preserve"> </w:t>
      </w:r>
      <w:r w:rsidR="0061429E" w:rsidRPr="001A57E3">
        <w:rPr>
          <w:b/>
          <w:szCs w:val="24"/>
          <w:lang w:val="en-GB"/>
        </w:rPr>
        <w:t>Non-principal member of a research group</w:t>
      </w:r>
      <w:r w:rsidR="00123501" w:rsidRPr="001A57E3">
        <w:rPr>
          <w:b/>
          <w:szCs w:val="24"/>
          <w:lang w:val="en-GB"/>
        </w:rPr>
        <w:t>—</w:t>
      </w:r>
      <w:r w:rsidR="0061429E" w:rsidRPr="001A57E3">
        <w:rPr>
          <w:szCs w:val="24"/>
          <w:lang w:val="en-GB"/>
        </w:rPr>
        <w:t>a person performing the work intended for the attainment of a research undertaking, and thus contributing to the implementation of the project</w:t>
      </w:r>
      <w:r w:rsidR="00545694" w:rsidRPr="001A57E3">
        <w:rPr>
          <w:szCs w:val="24"/>
          <w:lang w:val="en-GB"/>
        </w:rPr>
        <w:t>;</w:t>
      </w:r>
    </w:p>
    <w:p w:rsidR="00420065" w:rsidRPr="001A57E3" w:rsidRDefault="00163EAE">
      <w:pPr>
        <w:ind w:firstLine="709"/>
        <w:jc w:val="both"/>
        <w:rPr>
          <w:szCs w:val="24"/>
          <w:lang w:val="en-GB"/>
        </w:rPr>
      </w:pPr>
      <w:r w:rsidRPr="001A57E3">
        <w:rPr>
          <w:szCs w:val="24"/>
          <w:lang w:val="en-GB"/>
        </w:rPr>
        <w:t>4.5</w:t>
      </w:r>
      <w:r w:rsidR="00545694" w:rsidRPr="001A57E3">
        <w:rPr>
          <w:szCs w:val="24"/>
          <w:lang w:val="en-GB"/>
        </w:rPr>
        <w:t>.</w:t>
      </w:r>
      <w:r w:rsidR="00545694" w:rsidRPr="001A57E3">
        <w:rPr>
          <w:b/>
          <w:szCs w:val="24"/>
          <w:lang w:val="en-GB"/>
        </w:rPr>
        <w:t xml:space="preserve"> </w:t>
      </w:r>
      <w:r w:rsidR="0061429E" w:rsidRPr="001A57E3">
        <w:rPr>
          <w:b/>
          <w:szCs w:val="24"/>
          <w:lang w:val="en-GB"/>
        </w:rPr>
        <w:t>Principal member of the research group</w:t>
      </w:r>
      <w:r w:rsidR="00123501" w:rsidRPr="001A57E3">
        <w:rPr>
          <w:szCs w:val="24"/>
          <w:lang w:val="en-GB"/>
        </w:rPr>
        <w:t>—</w:t>
      </w:r>
      <w:r w:rsidR="0061429E" w:rsidRPr="001A57E3">
        <w:rPr>
          <w:szCs w:val="24"/>
          <w:lang w:val="en-GB"/>
        </w:rPr>
        <w:t>a person carrying out the key tasks within a research ordinarily throughout the project implementation period, and whose scientific competence is important when assessing the application</w:t>
      </w:r>
      <w:r w:rsidR="00545694" w:rsidRPr="001A57E3">
        <w:rPr>
          <w:szCs w:val="24"/>
          <w:lang w:val="en-GB"/>
        </w:rPr>
        <w:t>;</w:t>
      </w:r>
    </w:p>
    <w:p w:rsidR="00420065" w:rsidRPr="001A57E3" w:rsidRDefault="00BC2E60">
      <w:pPr>
        <w:ind w:firstLine="709"/>
        <w:jc w:val="both"/>
        <w:rPr>
          <w:szCs w:val="24"/>
          <w:lang w:val="en-GB"/>
        </w:rPr>
      </w:pPr>
      <w:r w:rsidRPr="001A57E3">
        <w:rPr>
          <w:szCs w:val="24"/>
          <w:lang w:val="en-GB"/>
        </w:rPr>
        <w:t>4.</w:t>
      </w:r>
      <w:r w:rsidR="005E25F9" w:rsidRPr="001A57E3">
        <w:rPr>
          <w:szCs w:val="24"/>
          <w:lang w:val="en-GB"/>
        </w:rPr>
        <w:t>6</w:t>
      </w:r>
      <w:r w:rsidRPr="001A57E3">
        <w:rPr>
          <w:szCs w:val="24"/>
          <w:lang w:val="en-GB"/>
        </w:rPr>
        <w:t xml:space="preserve">. </w:t>
      </w:r>
      <w:r w:rsidR="00B808B2" w:rsidRPr="001A57E3">
        <w:rPr>
          <w:b/>
          <w:szCs w:val="24"/>
          <w:lang w:val="en-GB"/>
        </w:rPr>
        <w:t>Effective cooperation</w:t>
      </w:r>
      <w:r w:rsidR="00123501" w:rsidRPr="001A57E3">
        <w:rPr>
          <w:szCs w:val="24"/>
          <w:lang w:val="en-GB"/>
        </w:rPr>
        <w:t>—</w:t>
      </w:r>
      <w:r w:rsidR="00B808B2" w:rsidRPr="001A57E3">
        <w:rPr>
          <w:szCs w:val="24"/>
          <w:lang w:val="en-GB"/>
        </w:rPr>
        <w:t>understood as defined in Article 2(90) of Regulation (EU) No</w:t>
      </w:r>
      <w:r w:rsidRPr="001A57E3">
        <w:rPr>
          <w:szCs w:val="24"/>
          <w:lang w:val="en-GB"/>
        </w:rPr>
        <w:t>. 651/2014</w:t>
      </w:r>
      <w:r w:rsidR="00545694" w:rsidRPr="001A57E3">
        <w:rPr>
          <w:szCs w:val="24"/>
          <w:lang w:val="en-GB"/>
        </w:rPr>
        <w:t>.</w:t>
      </w:r>
    </w:p>
    <w:p w:rsidR="00420065" w:rsidRPr="001A57E3" w:rsidRDefault="00545694">
      <w:pPr>
        <w:ind w:firstLine="709"/>
        <w:jc w:val="both"/>
        <w:rPr>
          <w:szCs w:val="24"/>
          <w:lang w:val="en-GB"/>
        </w:rPr>
      </w:pPr>
      <w:r w:rsidRPr="001A57E3">
        <w:rPr>
          <w:szCs w:val="24"/>
          <w:lang w:val="en-GB"/>
        </w:rPr>
        <w:t xml:space="preserve">5. </w:t>
      </w:r>
      <w:r w:rsidR="0061429E" w:rsidRPr="001A57E3">
        <w:rPr>
          <w:szCs w:val="24"/>
          <w:lang w:val="en-GB"/>
        </w:rPr>
        <w:t>The implementation of the measure is being managed by the Ministry of Education and Science of the Republic of Lithuania (hereinafter</w:t>
      </w:r>
      <w:r w:rsidR="0061429E" w:rsidRPr="001A57E3">
        <w:rPr>
          <w:szCs w:val="24"/>
          <w:cs/>
          <w:lang w:val="en-GB"/>
        </w:rPr>
        <w:t>—</w:t>
      </w:r>
      <w:r w:rsidR="0061429E" w:rsidRPr="001A57E3">
        <w:rPr>
          <w:szCs w:val="24"/>
          <w:lang w:val="en-GB"/>
        </w:rPr>
        <w:t>the Ministry), and the Research Council of Lithuania (hereinafter</w:t>
      </w:r>
      <w:r w:rsidR="0061429E" w:rsidRPr="001A57E3">
        <w:rPr>
          <w:szCs w:val="24"/>
          <w:cs/>
          <w:lang w:val="en-GB"/>
        </w:rPr>
        <w:t>—</w:t>
      </w:r>
      <w:r w:rsidR="0061429E" w:rsidRPr="001A57E3">
        <w:rPr>
          <w:szCs w:val="24"/>
          <w:lang w:val="en-GB"/>
        </w:rPr>
        <w:t xml:space="preserve">the Implementing authority or the </w:t>
      </w:r>
      <w:r w:rsidR="00217361" w:rsidRPr="001A57E3">
        <w:rPr>
          <w:szCs w:val="24"/>
          <w:lang w:val="en-GB"/>
        </w:rPr>
        <w:t>RCL</w:t>
      </w:r>
      <w:r w:rsidR="0061429E" w:rsidRPr="001A57E3">
        <w:rPr>
          <w:szCs w:val="24"/>
          <w:lang w:val="en-GB"/>
        </w:rPr>
        <w:t>)</w:t>
      </w:r>
      <w:r w:rsidRPr="001A57E3">
        <w:rPr>
          <w:szCs w:val="24"/>
          <w:lang w:val="en-GB"/>
        </w:rPr>
        <w:t>.</w:t>
      </w:r>
    </w:p>
    <w:p w:rsidR="00420065" w:rsidRPr="001A57E3" w:rsidRDefault="00545694">
      <w:pPr>
        <w:ind w:firstLine="709"/>
        <w:jc w:val="both"/>
        <w:rPr>
          <w:i/>
          <w:szCs w:val="24"/>
          <w:lang w:val="en-GB"/>
        </w:rPr>
      </w:pPr>
      <w:r w:rsidRPr="001A57E3">
        <w:rPr>
          <w:szCs w:val="24"/>
          <w:lang w:val="en-GB"/>
        </w:rPr>
        <w:t xml:space="preserve">6. </w:t>
      </w:r>
      <w:r w:rsidR="0061429E" w:rsidRPr="001A57E3">
        <w:rPr>
          <w:szCs w:val="24"/>
          <w:lang w:val="en-GB"/>
        </w:rPr>
        <w:t>The form of financing under the Measure is a non-repayable subsidy</w:t>
      </w:r>
      <w:r w:rsidRPr="001A57E3">
        <w:rPr>
          <w:szCs w:val="24"/>
          <w:lang w:val="en-GB"/>
        </w:rPr>
        <w:t>.</w:t>
      </w:r>
    </w:p>
    <w:p w:rsidR="00420065" w:rsidRPr="001A57E3" w:rsidRDefault="00545694">
      <w:pPr>
        <w:ind w:firstLine="709"/>
        <w:jc w:val="both"/>
        <w:rPr>
          <w:szCs w:val="24"/>
          <w:lang w:val="en-GB"/>
        </w:rPr>
      </w:pPr>
      <w:r w:rsidRPr="001A57E3">
        <w:rPr>
          <w:szCs w:val="24"/>
          <w:lang w:val="en-GB"/>
        </w:rPr>
        <w:t xml:space="preserve">7. </w:t>
      </w:r>
      <w:r w:rsidR="0061429E" w:rsidRPr="001A57E3">
        <w:rPr>
          <w:szCs w:val="24"/>
          <w:lang w:val="en-GB"/>
        </w:rPr>
        <w:t xml:space="preserve">The project selection under the </w:t>
      </w:r>
      <w:r w:rsidR="00A47C61" w:rsidRPr="001A57E3">
        <w:rPr>
          <w:szCs w:val="24"/>
          <w:lang w:val="en-GB"/>
        </w:rPr>
        <w:t xml:space="preserve">Measure activities </w:t>
      </w:r>
      <w:r w:rsidR="0061429E" w:rsidRPr="001A57E3">
        <w:rPr>
          <w:szCs w:val="24"/>
          <w:lang w:val="en-GB"/>
        </w:rPr>
        <w:t>shall be carried out by way of a single stage competition</w:t>
      </w:r>
      <w:r w:rsidRPr="001A57E3">
        <w:rPr>
          <w:szCs w:val="24"/>
          <w:lang w:val="en-GB"/>
        </w:rPr>
        <w:t>.</w:t>
      </w:r>
    </w:p>
    <w:p w:rsidR="00915B63" w:rsidRPr="001A57E3" w:rsidRDefault="00545694" w:rsidP="005B3784">
      <w:pPr>
        <w:ind w:firstLine="709"/>
        <w:jc w:val="both"/>
        <w:rPr>
          <w:szCs w:val="24"/>
          <w:lang w:val="en-GB"/>
        </w:rPr>
      </w:pPr>
      <w:r w:rsidRPr="001A57E3">
        <w:rPr>
          <w:szCs w:val="24"/>
          <w:lang w:val="en-GB"/>
        </w:rPr>
        <w:t xml:space="preserve">8. </w:t>
      </w:r>
      <w:r w:rsidR="0061429E" w:rsidRPr="001A57E3">
        <w:rPr>
          <w:szCs w:val="24"/>
          <w:lang w:val="en-GB"/>
        </w:rPr>
        <w:t xml:space="preserve">According to the </w:t>
      </w:r>
      <w:r w:rsidR="00EF72E5" w:rsidRPr="001A57E3">
        <w:rPr>
          <w:szCs w:val="24"/>
          <w:lang w:val="en-GB"/>
        </w:rPr>
        <w:t>Guidelines</w:t>
      </w:r>
      <w:r w:rsidR="0061429E" w:rsidRPr="001A57E3">
        <w:rPr>
          <w:szCs w:val="24"/>
          <w:lang w:val="en-GB"/>
        </w:rPr>
        <w:t>, the anticipated allocations for the implementation of the projects amount to EUR 14</w:t>
      </w:r>
      <w:r w:rsidR="000008A4" w:rsidRPr="001A57E3">
        <w:rPr>
          <w:szCs w:val="24"/>
          <w:lang w:val="en-GB"/>
        </w:rPr>
        <w:t>,481,</w:t>
      </w:r>
      <w:r w:rsidR="0061429E" w:rsidRPr="001A57E3">
        <w:rPr>
          <w:szCs w:val="24"/>
          <w:lang w:val="en-GB"/>
        </w:rPr>
        <w:t>001.00 (fourteen million four hundred eighty-one thousand one euros) from the European Union (hereinafter</w:t>
      </w:r>
      <w:r w:rsidR="0061429E" w:rsidRPr="001A57E3">
        <w:rPr>
          <w:szCs w:val="24"/>
          <w:cs/>
          <w:lang w:val="en-GB"/>
        </w:rPr>
        <w:t xml:space="preserve">—the </w:t>
      </w:r>
      <w:r w:rsidR="0061429E" w:rsidRPr="001A57E3">
        <w:rPr>
          <w:szCs w:val="24"/>
          <w:lang w:val="en-GB"/>
        </w:rPr>
        <w:t>EU) structural funds (European Regional Development Funds)</w:t>
      </w:r>
      <w:r w:rsidRPr="001A57E3">
        <w:rPr>
          <w:szCs w:val="24"/>
          <w:lang w:val="en-GB"/>
        </w:rPr>
        <w:t>.</w:t>
      </w:r>
    </w:p>
    <w:p w:rsidR="00420065" w:rsidRPr="001A57E3" w:rsidRDefault="00545694">
      <w:pPr>
        <w:tabs>
          <w:tab w:val="left" w:pos="2340"/>
        </w:tabs>
        <w:ind w:firstLine="709"/>
        <w:jc w:val="both"/>
        <w:rPr>
          <w:szCs w:val="24"/>
          <w:lang w:val="en-GB"/>
        </w:rPr>
      </w:pPr>
      <w:r w:rsidRPr="001A57E3">
        <w:rPr>
          <w:lang w:val="en-GB"/>
        </w:rPr>
        <w:t xml:space="preserve">9. </w:t>
      </w:r>
      <w:r w:rsidR="00A47C61" w:rsidRPr="001A57E3">
        <w:rPr>
          <w:lang w:val="en-GB"/>
        </w:rPr>
        <w:t xml:space="preserve">According to the </w:t>
      </w:r>
      <w:r w:rsidR="00EF72E5" w:rsidRPr="001A57E3">
        <w:rPr>
          <w:lang w:val="en-GB"/>
        </w:rPr>
        <w:t>Guidelines</w:t>
      </w:r>
      <w:r w:rsidR="00615B8F" w:rsidRPr="001A57E3">
        <w:rPr>
          <w:lang w:val="en-GB"/>
        </w:rPr>
        <w:t>,</w:t>
      </w:r>
      <w:r w:rsidR="00A47C61" w:rsidRPr="001A57E3">
        <w:rPr>
          <w:lang w:val="en-GB"/>
        </w:rPr>
        <w:t xml:space="preserve"> one call for proposals will be announced and allocated EUR </w:t>
      </w:r>
      <w:r w:rsidR="00A47C61" w:rsidRPr="001A57E3">
        <w:rPr>
          <w:szCs w:val="24"/>
          <w:lang w:val="en-GB"/>
        </w:rPr>
        <w:t>14</w:t>
      </w:r>
      <w:r w:rsidR="000008A4" w:rsidRPr="001A57E3">
        <w:rPr>
          <w:szCs w:val="24"/>
          <w:lang w:val="en-GB"/>
        </w:rPr>
        <w:t>,481,</w:t>
      </w:r>
      <w:r w:rsidR="00A47C61" w:rsidRPr="001A57E3">
        <w:rPr>
          <w:szCs w:val="24"/>
          <w:lang w:val="en-GB"/>
        </w:rPr>
        <w:t xml:space="preserve">001.00 (fourteen million four hundred eighty-one thousand one euros) </w:t>
      </w:r>
      <w:r w:rsidR="00A47C61" w:rsidRPr="001A57E3">
        <w:rPr>
          <w:lang w:val="en-GB"/>
        </w:rPr>
        <w:t>from the European Union structural funds. When passing a decision regarding the funding of the projects, subject to an agreement from the Ministry the Implementing authority shall have a right to increase the amounts referred to in this Article, without exceeding the amount allocated to the Measure and specified in the Measure implementation plan, or infringing the legitimate expectations of the applicants</w:t>
      </w:r>
      <w:r w:rsidRPr="001A57E3">
        <w:rPr>
          <w:lang w:val="en-GB"/>
        </w:rPr>
        <w:t>.</w:t>
      </w:r>
      <w:r w:rsidR="00057D33" w:rsidRPr="001A57E3">
        <w:rPr>
          <w:lang w:val="en-GB"/>
        </w:rPr>
        <w:t xml:space="preserve"> </w:t>
      </w:r>
      <w:r w:rsidR="00A47C61" w:rsidRPr="001A57E3">
        <w:rPr>
          <w:lang w:val="en-GB"/>
        </w:rPr>
        <w:t>One sixth of the amount of the EU structural funds specified herein shall be allocated to each smart specialisation area specified in this the smart specialisation programme</w:t>
      </w:r>
      <w:r w:rsidR="00057D33" w:rsidRPr="001A57E3">
        <w:rPr>
          <w:lang w:val="en-GB"/>
        </w:rPr>
        <w:t>.</w:t>
      </w:r>
    </w:p>
    <w:p w:rsidR="00420065" w:rsidRPr="001A57E3" w:rsidRDefault="00163EAE" w:rsidP="00FE3066">
      <w:pPr>
        <w:ind w:firstLine="709"/>
        <w:jc w:val="both"/>
        <w:rPr>
          <w:szCs w:val="24"/>
          <w:lang w:val="en-GB"/>
        </w:rPr>
      </w:pPr>
      <w:r w:rsidRPr="001A57E3">
        <w:rPr>
          <w:szCs w:val="24"/>
          <w:lang w:val="en-GB"/>
        </w:rPr>
        <w:t>10</w:t>
      </w:r>
      <w:r w:rsidR="00545694" w:rsidRPr="001A57E3">
        <w:rPr>
          <w:szCs w:val="24"/>
          <w:lang w:val="en-GB"/>
        </w:rPr>
        <w:t xml:space="preserve">. </w:t>
      </w:r>
      <w:r w:rsidR="00A47C61" w:rsidRPr="001A57E3">
        <w:rPr>
          <w:szCs w:val="24"/>
          <w:lang w:val="en-GB"/>
        </w:rPr>
        <w:t xml:space="preserve">The activity supported according to the </w:t>
      </w:r>
      <w:r w:rsidR="00EF72E5" w:rsidRPr="001A57E3">
        <w:rPr>
          <w:szCs w:val="24"/>
          <w:lang w:val="en-GB"/>
        </w:rPr>
        <w:t>Guidelines</w:t>
      </w:r>
      <w:r w:rsidR="00A47C61" w:rsidRPr="001A57E3">
        <w:rPr>
          <w:szCs w:val="24"/>
          <w:lang w:val="en-GB"/>
        </w:rPr>
        <w:t>—attracting scientists from abroad to carry out research aimed at developing results in line with R&amp;D topics relevant to the economic sectors, which could then be commercialised</w:t>
      </w:r>
      <w:r w:rsidR="00545694" w:rsidRPr="001A57E3">
        <w:rPr>
          <w:szCs w:val="24"/>
          <w:lang w:val="en-GB"/>
        </w:rPr>
        <w:t>.</w:t>
      </w:r>
      <w:r w:rsidR="00CF1464" w:rsidRPr="001A57E3">
        <w:rPr>
          <w:szCs w:val="24"/>
          <w:lang w:val="en-GB"/>
        </w:rPr>
        <w:t xml:space="preserve"> </w:t>
      </w:r>
      <w:r w:rsidR="00B808B2" w:rsidRPr="001A57E3">
        <w:rPr>
          <w:szCs w:val="24"/>
          <w:lang w:val="en-GB"/>
        </w:rPr>
        <w:t xml:space="preserve">Under the </w:t>
      </w:r>
      <w:r w:rsidR="00EF72E5" w:rsidRPr="001A57E3">
        <w:rPr>
          <w:szCs w:val="24"/>
          <w:lang w:val="en-GB"/>
        </w:rPr>
        <w:t>Guidelines</w:t>
      </w:r>
      <w:r w:rsidR="00B808B2" w:rsidRPr="001A57E3">
        <w:rPr>
          <w:szCs w:val="24"/>
          <w:lang w:val="en-GB"/>
        </w:rPr>
        <w:t>, funding is provided for high-level/international research projects run by high-level/international research leaders from abroad. Scientists and other researchers from abroad, as well as Lithuanian scientists and other researchers, may be members of the funded research projects</w:t>
      </w:r>
      <w:r w:rsidR="00FE3066" w:rsidRPr="001A57E3">
        <w:rPr>
          <w:szCs w:val="24"/>
          <w:lang w:val="en-GB"/>
        </w:rPr>
        <w:t>.</w:t>
      </w:r>
    </w:p>
    <w:p w:rsidR="00163EAE" w:rsidRPr="001A57E3" w:rsidRDefault="00163EAE">
      <w:pPr>
        <w:ind w:firstLine="709"/>
        <w:jc w:val="both"/>
        <w:rPr>
          <w:szCs w:val="24"/>
          <w:lang w:val="en-GB"/>
        </w:rPr>
      </w:pPr>
      <w:r w:rsidRPr="001A57E3">
        <w:rPr>
          <w:szCs w:val="24"/>
          <w:lang w:val="en-GB"/>
        </w:rPr>
        <w:t>11</w:t>
      </w:r>
      <w:r w:rsidR="00456CCD" w:rsidRPr="001A57E3">
        <w:rPr>
          <w:szCs w:val="24"/>
          <w:lang w:val="en-GB"/>
        </w:rPr>
        <w:t xml:space="preserve">. </w:t>
      </w:r>
      <w:r w:rsidR="00B576A4" w:rsidRPr="001A57E3">
        <w:rPr>
          <w:szCs w:val="24"/>
          <w:lang w:val="en-GB"/>
        </w:rPr>
        <w:t xml:space="preserve">The purpose of the activities referred to in Article 10 of the </w:t>
      </w:r>
      <w:r w:rsidR="00EF72E5" w:rsidRPr="001A57E3">
        <w:rPr>
          <w:szCs w:val="24"/>
          <w:lang w:val="en-GB"/>
        </w:rPr>
        <w:t>Guidelines</w:t>
      </w:r>
      <w:r w:rsidR="00B576A4" w:rsidRPr="001A57E3">
        <w:rPr>
          <w:szCs w:val="24"/>
          <w:lang w:val="en-GB"/>
        </w:rPr>
        <w:t>—</w:t>
      </w:r>
      <w:r w:rsidR="00B576A4" w:rsidRPr="001A57E3">
        <w:rPr>
          <w:lang w:val="en-GB"/>
        </w:rPr>
        <w:t xml:space="preserve"> </w:t>
      </w:r>
      <w:r w:rsidR="00B576A4" w:rsidRPr="001A57E3">
        <w:rPr>
          <w:szCs w:val="24"/>
          <w:lang w:val="en-GB"/>
        </w:rPr>
        <w:t>to increase the scale of the commercialisation of R&amp;D results by strengthening the human R&amp;D capabilities necessary to implement the R&amp;D priorities by attracting scientists and other researchers from abroad</w:t>
      </w:r>
      <w:r w:rsidR="00673C9E" w:rsidRPr="001A57E3">
        <w:rPr>
          <w:szCs w:val="24"/>
          <w:lang w:val="en-GB"/>
        </w:rPr>
        <w:t>.</w:t>
      </w:r>
    </w:p>
    <w:p w:rsidR="00420065" w:rsidRPr="001A57E3" w:rsidRDefault="00163EAE">
      <w:pPr>
        <w:ind w:firstLine="709"/>
        <w:jc w:val="both"/>
        <w:rPr>
          <w:sz w:val="22"/>
          <w:szCs w:val="22"/>
          <w:lang w:val="en-GB"/>
        </w:rPr>
      </w:pPr>
      <w:r w:rsidRPr="001A57E3">
        <w:rPr>
          <w:szCs w:val="24"/>
          <w:lang w:val="en-GB"/>
        </w:rPr>
        <w:t>12</w:t>
      </w:r>
      <w:r w:rsidR="00545694" w:rsidRPr="001A57E3">
        <w:rPr>
          <w:szCs w:val="24"/>
          <w:lang w:val="en-GB"/>
        </w:rPr>
        <w:t xml:space="preserve">. </w:t>
      </w:r>
      <w:r w:rsidR="00B576A4" w:rsidRPr="001A57E3">
        <w:rPr>
          <w:szCs w:val="24"/>
          <w:lang w:val="en-GB"/>
        </w:rPr>
        <w:t xml:space="preserve">The call for proposals according to the supported activity indicated in the </w:t>
      </w:r>
      <w:r w:rsidR="00EF72E5" w:rsidRPr="001A57E3">
        <w:rPr>
          <w:szCs w:val="24"/>
          <w:lang w:val="en-GB"/>
        </w:rPr>
        <w:t>Guidelines</w:t>
      </w:r>
      <w:r w:rsidR="00B576A4" w:rsidRPr="001A57E3">
        <w:rPr>
          <w:szCs w:val="24"/>
          <w:lang w:val="en-GB"/>
        </w:rPr>
        <w:t xml:space="preserve"> will be </w:t>
      </w:r>
      <w:r w:rsidR="00557749" w:rsidRPr="001A57E3">
        <w:rPr>
          <w:lang w:val="en-GB"/>
        </w:rPr>
        <w:t xml:space="preserve">announced </w:t>
      </w:r>
      <w:r w:rsidR="00B576A4" w:rsidRPr="001A57E3">
        <w:rPr>
          <w:szCs w:val="24"/>
          <w:lang w:val="en-GB"/>
        </w:rPr>
        <w:t xml:space="preserve">in </w:t>
      </w:r>
      <w:r w:rsidR="00351814" w:rsidRPr="001A57E3">
        <w:rPr>
          <w:szCs w:val="24"/>
          <w:lang w:val="en-GB"/>
        </w:rPr>
        <w:t>1</w:t>
      </w:r>
      <w:r w:rsidR="00351814" w:rsidRPr="001A57E3">
        <w:rPr>
          <w:szCs w:val="24"/>
          <w:vertAlign w:val="superscript"/>
          <w:lang w:val="en-GB"/>
        </w:rPr>
        <w:t>st</w:t>
      </w:r>
      <w:r w:rsidR="00351814" w:rsidRPr="001A57E3">
        <w:rPr>
          <w:szCs w:val="24"/>
          <w:lang w:val="en-GB"/>
        </w:rPr>
        <w:t xml:space="preserve"> quarter of</w:t>
      </w:r>
      <w:r w:rsidR="00B576A4" w:rsidRPr="001A57E3">
        <w:rPr>
          <w:szCs w:val="24"/>
          <w:lang w:val="en-GB"/>
        </w:rPr>
        <w:t xml:space="preserve"> 2018</w:t>
      </w:r>
      <w:r w:rsidR="00545694" w:rsidRPr="001A57E3">
        <w:rPr>
          <w:szCs w:val="24"/>
          <w:lang w:val="en-GB"/>
        </w:rPr>
        <w:t xml:space="preserve">. </w:t>
      </w:r>
      <w:r w:rsidR="00B576A4" w:rsidRPr="001A57E3">
        <w:rPr>
          <w:szCs w:val="24"/>
          <w:lang w:val="en-GB"/>
        </w:rPr>
        <w:t>Information about the scheduled calls is also presented in the plan for the journal of calls for applications, project lists and financial agreements posted at the EU structural funds</w:t>
      </w:r>
      <w:r w:rsidR="00B576A4" w:rsidRPr="001A57E3">
        <w:rPr>
          <w:szCs w:val="24"/>
          <w:cs/>
          <w:lang w:val="en-GB"/>
        </w:rPr>
        <w:t xml:space="preserve">’ </w:t>
      </w:r>
      <w:r w:rsidR="00B576A4" w:rsidRPr="001A57E3">
        <w:rPr>
          <w:szCs w:val="24"/>
          <w:lang w:val="en-GB"/>
        </w:rPr>
        <w:t xml:space="preserve">website at </w:t>
      </w:r>
      <w:hyperlink r:id="rId13" w:history="1">
        <w:r w:rsidR="00B576A4" w:rsidRPr="001A57E3">
          <w:rPr>
            <w:rStyle w:val="Hyperlink"/>
            <w:color w:val="000000"/>
            <w:szCs w:val="24"/>
            <w:lang w:val="en-GB"/>
          </w:rPr>
          <w:t>www.esinvesticijos.lt</w:t>
        </w:r>
      </w:hyperlink>
      <w:r w:rsidR="00B576A4" w:rsidRPr="001A57E3">
        <w:rPr>
          <w:rStyle w:val="Hyperlink"/>
          <w:color w:val="000000"/>
          <w:szCs w:val="24"/>
          <w:u w:val="none"/>
          <w:lang w:val="en-GB"/>
        </w:rPr>
        <w:t xml:space="preserve"> , and </w:t>
      </w:r>
      <w:r w:rsidR="00B576A4" w:rsidRPr="001A57E3">
        <w:rPr>
          <w:szCs w:val="24"/>
          <w:lang w:val="en-GB"/>
        </w:rPr>
        <w:t xml:space="preserve">at the website of the Implementing authority </w:t>
      </w:r>
      <w:hyperlink r:id="rId14" w:history="1">
        <w:r w:rsidR="00B576A4" w:rsidRPr="001A57E3">
          <w:rPr>
            <w:rStyle w:val="Hyperlink"/>
            <w:color w:val="000000"/>
            <w:szCs w:val="24"/>
            <w:lang w:val="en-GB"/>
          </w:rPr>
          <w:t>www.lmt.lt</w:t>
        </w:r>
      </w:hyperlink>
      <w:r w:rsidR="00545694" w:rsidRPr="001A57E3">
        <w:rPr>
          <w:szCs w:val="24"/>
          <w:lang w:val="en-GB"/>
        </w:rPr>
        <w:t>.</w:t>
      </w:r>
    </w:p>
    <w:p w:rsidR="00420065" w:rsidRPr="001A57E3" w:rsidRDefault="00420065">
      <w:pPr>
        <w:rPr>
          <w:lang w:val="en-GB"/>
        </w:rPr>
      </w:pPr>
    </w:p>
    <w:p w:rsidR="00420065" w:rsidRPr="001A57E3" w:rsidRDefault="00B576A4">
      <w:pPr>
        <w:jc w:val="center"/>
        <w:rPr>
          <w:b/>
          <w:szCs w:val="24"/>
          <w:lang w:val="en-GB"/>
        </w:rPr>
      </w:pPr>
      <w:r w:rsidRPr="001A57E3">
        <w:rPr>
          <w:b/>
          <w:szCs w:val="24"/>
          <w:lang w:val="en-GB"/>
        </w:rPr>
        <w:t>CHAPTER II</w:t>
      </w:r>
    </w:p>
    <w:p w:rsidR="00420065" w:rsidRPr="001A57E3" w:rsidRDefault="00B576A4" w:rsidP="00B576A4">
      <w:pPr>
        <w:pStyle w:val="Heading1"/>
        <w:spacing w:before="120" w:after="120"/>
      </w:pPr>
      <w:r w:rsidRPr="001A57E3">
        <w:t>REQUIREMENTS FOR THE APPLICANTS AND PARTNERS</w:t>
      </w:r>
    </w:p>
    <w:p w:rsidR="00420065" w:rsidRPr="001A57E3" w:rsidRDefault="00AD0A81">
      <w:pPr>
        <w:ind w:firstLine="709"/>
        <w:jc w:val="both"/>
        <w:rPr>
          <w:lang w:val="en-GB"/>
        </w:rPr>
      </w:pPr>
      <w:r w:rsidRPr="001A57E3">
        <w:rPr>
          <w:lang w:val="en-GB"/>
        </w:rPr>
        <w:t>13</w:t>
      </w:r>
      <w:r w:rsidR="00545694" w:rsidRPr="001A57E3">
        <w:rPr>
          <w:lang w:val="en-GB"/>
        </w:rPr>
        <w:t xml:space="preserve">. </w:t>
      </w:r>
      <w:r w:rsidR="00B576A4" w:rsidRPr="001A57E3">
        <w:rPr>
          <w:lang w:val="en-GB"/>
        </w:rPr>
        <w:t xml:space="preserve">According to the requirements of the </w:t>
      </w:r>
      <w:r w:rsidR="00EF72E5" w:rsidRPr="001A57E3">
        <w:rPr>
          <w:lang w:val="en-GB"/>
        </w:rPr>
        <w:t>Guidelines</w:t>
      </w:r>
      <w:r w:rsidR="00B576A4" w:rsidRPr="001A57E3">
        <w:rPr>
          <w:lang w:val="en-GB"/>
        </w:rPr>
        <w:t>, eligible applicants/</w:t>
      </w:r>
      <w:r w:rsidR="00C8638B" w:rsidRPr="001A57E3">
        <w:rPr>
          <w:lang w:val="en-GB"/>
        </w:rPr>
        <w:t>implementing authorities</w:t>
      </w:r>
      <w:r w:rsidR="00B576A4" w:rsidRPr="001A57E3">
        <w:rPr>
          <w:lang w:val="en-GB"/>
        </w:rPr>
        <w:t xml:space="preserve"> are universities and research institutes as well as university hospitals included in the Open Information, Counselling and Guidance System </w:t>
      </w:r>
      <w:hyperlink r:id="rId15" w:history="1">
        <w:r w:rsidR="00B576A4" w:rsidRPr="001A57E3">
          <w:rPr>
            <w:rStyle w:val="Hyperlink"/>
            <w:color w:val="000000"/>
            <w:lang w:val="en-GB"/>
          </w:rPr>
          <w:t>www.aikos.smm.lt</w:t>
        </w:r>
      </w:hyperlink>
      <w:r w:rsidR="00B576A4" w:rsidRPr="001A57E3">
        <w:rPr>
          <w:lang w:val="en-GB"/>
        </w:rPr>
        <w:t>. Eligible partners are legal entities operating in research and/or studies area that, in the course of the past calendar year before the application submission deadline specified in the call, have been engaged in R&amp;D activities (attached to the application, the partners (private legal entities) shall submit a tax return for the past calendar year before the application submission deadline, approved by the State Tax Inspectorate under the Ministry of Finance of the Republic of Lithuania or, if the partners (private legal entities) are registered in another Member State, a document issued by an authorised authority of that Member State approving the R&amp;D activities carried out during the last calendar year</w:t>
      </w:r>
      <w:r w:rsidR="00632544" w:rsidRPr="001A57E3">
        <w:rPr>
          <w:lang w:val="en-GB"/>
        </w:rPr>
        <w:t>).</w:t>
      </w:r>
    </w:p>
    <w:p w:rsidR="00420065" w:rsidRPr="001A57E3" w:rsidRDefault="007F138A">
      <w:pPr>
        <w:ind w:firstLine="709"/>
        <w:jc w:val="both"/>
        <w:rPr>
          <w:lang w:val="en-GB"/>
        </w:rPr>
      </w:pPr>
      <w:r w:rsidRPr="001A57E3">
        <w:rPr>
          <w:lang w:val="en-GB"/>
        </w:rPr>
        <w:t>14</w:t>
      </w:r>
      <w:r w:rsidR="00545694" w:rsidRPr="001A57E3">
        <w:rPr>
          <w:lang w:val="en-GB"/>
        </w:rPr>
        <w:t xml:space="preserve">. </w:t>
      </w:r>
      <w:r w:rsidR="00B576A4" w:rsidRPr="001A57E3">
        <w:rPr>
          <w:lang w:val="en-GB"/>
        </w:rPr>
        <w:t>In case the application is submitted together with a partner(s), attached to the application shall be a copy of the valid cooperation/partnership agreement signed by the Applicant and all partners</w:t>
      </w:r>
      <w:r w:rsidR="00545694" w:rsidRPr="001A57E3">
        <w:rPr>
          <w:lang w:val="en-GB"/>
        </w:rPr>
        <w:t>.</w:t>
      </w:r>
    </w:p>
    <w:p w:rsidR="00420065" w:rsidRPr="001A57E3" w:rsidRDefault="007F138A">
      <w:pPr>
        <w:ind w:firstLine="709"/>
        <w:jc w:val="both"/>
        <w:rPr>
          <w:lang w:val="en-GB"/>
        </w:rPr>
      </w:pPr>
      <w:r w:rsidRPr="001A57E3">
        <w:rPr>
          <w:lang w:val="en-GB"/>
        </w:rPr>
        <w:t>15</w:t>
      </w:r>
      <w:r w:rsidR="00545694" w:rsidRPr="001A57E3">
        <w:rPr>
          <w:lang w:val="en-GB"/>
        </w:rPr>
        <w:t xml:space="preserve">. </w:t>
      </w:r>
      <w:r w:rsidR="00B576A4" w:rsidRPr="001A57E3">
        <w:rPr>
          <w:lang w:val="en-GB"/>
        </w:rPr>
        <w:t>The cooperation/partnership agreement shall clearly specify the obligations and the rights of the parties in relation to the implementation of the project (specifying the financial and professional contribution of each party to the project, the activities intended to be carried out by each party, the rights to the jointly developed or acquired assets, and the project results, etc.), and the responsibility of the parties, as well as the obligations to comply with the principal rules of good partnership practice</w:t>
      </w:r>
      <w:r w:rsidR="00545694" w:rsidRPr="001A57E3">
        <w:rPr>
          <w:lang w:val="en-GB"/>
        </w:rPr>
        <w:t>:</w:t>
      </w:r>
    </w:p>
    <w:p w:rsidR="00420065" w:rsidRPr="001A57E3" w:rsidRDefault="007F138A">
      <w:pPr>
        <w:ind w:firstLine="709"/>
        <w:jc w:val="both"/>
        <w:rPr>
          <w:lang w:val="en-GB"/>
        </w:rPr>
      </w:pPr>
      <w:r w:rsidRPr="001A57E3">
        <w:rPr>
          <w:lang w:val="en-GB"/>
        </w:rPr>
        <w:t>15</w:t>
      </w:r>
      <w:r w:rsidR="00545694" w:rsidRPr="001A57E3">
        <w:rPr>
          <w:lang w:val="en-GB"/>
        </w:rPr>
        <w:t xml:space="preserve">.1. </w:t>
      </w:r>
      <w:r w:rsidR="00B576A4" w:rsidRPr="001A57E3">
        <w:rPr>
          <w:lang w:val="en-GB"/>
        </w:rPr>
        <w:t>All partners shall have read the application, and are familiar with their rights and obligations with respect to the implementation of the project</w:t>
      </w:r>
      <w:r w:rsidR="00545694" w:rsidRPr="001A57E3">
        <w:rPr>
          <w:lang w:val="en-GB"/>
        </w:rPr>
        <w:t>;</w:t>
      </w:r>
    </w:p>
    <w:p w:rsidR="00420065" w:rsidRPr="001A57E3" w:rsidRDefault="007F138A">
      <w:pPr>
        <w:ind w:firstLine="709"/>
        <w:jc w:val="both"/>
        <w:rPr>
          <w:lang w:val="en-GB"/>
        </w:rPr>
      </w:pPr>
      <w:r w:rsidRPr="001A57E3">
        <w:rPr>
          <w:lang w:val="en-GB"/>
        </w:rPr>
        <w:t>15</w:t>
      </w:r>
      <w:r w:rsidR="00545694" w:rsidRPr="001A57E3">
        <w:rPr>
          <w:lang w:val="en-GB"/>
        </w:rPr>
        <w:t xml:space="preserve">.2. </w:t>
      </w:r>
      <w:r w:rsidR="00615B8F" w:rsidRPr="001A57E3">
        <w:rPr>
          <w:lang w:val="en-GB"/>
        </w:rPr>
        <w:t xml:space="preserve">For the purpose of the implementation of the project, the </w:t>
      </w:r>
      <w:r w:rsidR="00C8638B" w:rsidRPr="001A57E3">
        <w:rPr>
          <w:lang w:val="en-GB"/>
        </w:rPr>
        <w:t>implementing authority</w:t>
      </w:r>
      <w:r w:rsidR="00615B8F" w:rsidRPr="001A57E3">
        <w:rPr>
          <w:lang w:val="en-GB"/>
        </w:rPr>
        <w:t xml:space="preserve"> shall on a regular basis consult the partners, and shall periodically inform them about the progress in the project implementation</w:t>
      </w:r>
      <w:r w:rsidR="00545694" w:rsidRPr="001A57E3">
        <w:rPr>
          <w:lang w:val="en-GB"/>
        </w:rPr>
        <w:t>;</w:t>
      </w:r>
    </w:p>
    <w:p w:rsidR="002D1E98" w:rsidRPr="001A57E3" w:rsidRDefault="007F138A" w:rsidP="00AD12E6">
      <w:pPr>
        <w:ind w:firstLine="709"/>
        <w:jc w:val="both"/>
        <w:rPr>
          <w:sz w:val="20"/>
          <w:lang w:val="en-GB"/>
        </w:rPr>
      </w:pPr>
      <w:r w:rsidRPr="001A57E3">
        <w:rPr>
          <w:lang w:val="en-GB"/>
        </w:rPr>
        <w:t>15</w:t>
      </w:r>
      <w:r w:rsidR="00545694" w:rsidRPr="001A57E3">
        <w:rPr>
          <w:lang w:val="en-GB"/>
        </w:rPr>
        <w:t xml:space="preserve">.3. </w:t>
      </w:r>
      <w:r w:rsidR="00615B8F" w:rsidRPr="001A57E3">
        <w:rPr>
          <w:lang w:val="en-GB"/>
        </w:rPr>
        <w:t>All amendments to the project affecting the partner obligations and rights shall be agreed with the partners prior to applying to the implementing authority</w:t>
      </w:r>
      <w:r w:rsidR="00545694" w:rsidRPr="001A57E3">
        <w:rPr>
          <w:lang w:val="en-GB"/>
        </w:rPr>
        <w:t>.</w:t>
      </w:r>
    </w:p>
    <w:p w:rsidR="00420065" w:rsidRPr="001A57E3" w:rsidRDefault="007F138A">
      <w:pPr>
        <w:ind w:firstLine="709"/>
        <w:jc w:val="both"/>
        <w:rPr>
          <w:szCs w:val="24"/>
          <w:lang w:val="en-GB"/>
        </w:rPr>
      </w:pPr>
      <w:r w:rsidRPr="001A57E3">
        <w:rPr>
          <w:szCs w:val="24"/>
          <w:lang w:val="en-GB"/>
        </w:rPr>
        <w:t>16</w:t>
      </w:r>
      <w:r w:rsidR="00545694" w:rsidRPr="001A57E3">
        <w:rPr>
          <w:szCs w:val="24"/>
          <w:lang w:val="en-GB"/>
        </w:rPr>
        <w:t xml:space="preserve">. </w:t>
      </w:r>
      <w:r w:rsidR="00615B8F" w:rsidRPr="001A57E3">
        <w:rPr>
          <w:szCs w:val="24"/>
          <w:lang w:val="en-GB"/>
        </w:rPr>
        <w:t>The Applicant and the partner(s) is/are required to have the following capacities necessary to implement the project</w:t>
      </w:r>
      <w:r w:rsidR="00545694" w:rsidRPr="001A57E3">
        <w:rPr>
          <w:szCs w:val="24"/>
          <w:lang w:val="en-GB"/>
        </w:rPr>
        <w:t>:</w:t>
      </w:r>
    </w:p>
    <w:p w:rsidR="00420065" w:rsidRPr="001A57E3" w:rsidRDefault="007F138A">
      <w:pPr>
        <w:ind w:firstLine="709"/>
        <w:jc w:val="both"/>
        <w:rPr>
          <w:szCs w:val="24"/>
          <w:lang w:val="en-GB"/>
        </w:rPr>
      </w:pPr>
      <w:r w:rsidRPr="001A57E3">
        <w:rPr>
          <w:szCs w:val="24"/>
          <w:lang w:val="en-GB"/>
        </w:rPr>
        <w:t>16</w:t>
      </w:r>
      <w:r w:rsidR="00545694" w:rsidRPr="001A57E3">
        <w:rPr>
          <w:szCs w:val="24"/>
          <w:lang w:val="en-GB"/>
        </w:rPr>
        <w:t xml:space="preserve">.1. </w:t>
      </w:r>
      <w:r w:rsidR="00615B8F" w:rsidRPr="001A57E3">
        <w:rPr>
          <w:szCs w:val="24"/>
          <w:lang w:val="en-GB"/>
        </w:rPr>
        <w:t>Operate an infrastructure required for carrying out the research</w:t>
      </w:r>
      <w:r w:rsidR="00545694" w:rsidRPr="001A57E3">
        <w:rPr>
          <w:szCs w:val="24"/>
          <w:lang w:val="en-GB"/>
        </w:rPr>
        <w:t>;</w:t>
      </w:r>
    </w:p>
    <w:p w:rsidR="002D1E98" w:rsidRPr="001A57E3" w:rsidRDefault="007F138A" w:rsidP="002D1E98">
      <w:pPr>
        <w:ind w:firstLine="709"/>
        <w:jc w:val="both"/>
        <w:rPr>
          <w:szCs w:val="24"/>
          <w:lang w:val="en-GB"/>
        </w:rPr>
      </w:pPr>
      <w:r w:rsidRPr="001A57E3">
        <w:rPr>
          <w:szCs w:val="24"/>
          <w:lang w:val="en-GB"/>
        </w:rPr>
        <w:t>16</w:t>
      </w:r>
      <w:r w:rsidR="00545694" w:rsidRPr="001A57E3">
        <w:rPr>
          <w:szCs w:val="24"/>
          <w:lang w:val="en-GB"/>
        </w:rPr>
        <w:t xml:space="preserve">.2. </w:t>
      </w:r>
      <w:r w:rsidR="00615B8F" w:rsidRPr="001A57E3">
        <w:rPr>
          <w:szCs w:val="24"/>
          <w:lang w:val="en-GB"/>
        </w:rPr>
        <w:t>Have human resources required for administration of the project</w:t>
      </w:r>
      <w:r w:rsidR="00545694" w:rsidRPr="001A57E3">
        <w:rPr>
          <w:szCs w:val="24"/>
          <w:lang w:val="en-GB"/>
        </w:rPr>
        <w:t>.</w:t>
      </w:r>
    </w:p>
    <w:p w:rsidR="002552CC" w:rsidRPr="001A57E3" w:rsidRDefault="007F138A" w:rsidP="00371D98">
      <w:pPr>
        <w:ind w:firstLine="709"/>
        <w:jc w:val="both"/>
        <w:rPr>
          <w:szCs w:val="24"/>
          <w:lang w:val="en-GB"/>
        </w:rPr>
      </w:pPr>
      <w:r w:rsidRPr="001A57E3">
        <w:rPr>
          <w:szCs w:val="24"/>
          <w:lang w:val="en-GB"/>
        </w:rPr>
        <w:t>17</w:t>
      </w:r>
      <w:r w:rsidR="00545694" w:rsidRPr="001A57E3">
        <w:rPr>
          <w:szCs w:val="24"/>
          <w:lang w:val="en-GB"/>
        </w:rPr>
        <w:t xml:space="preserve">. </w:t>
      </w:r>
      <w:r w:rsidR="00615B8F" w:rsidRPr="001A57E3">
        <w:rPr>
          <w:szCs w:val="24"/>
          <w:lang w:val="en-GB"/>
        </w:rPr>
        <w:t>At a time, the project implemented is permitted to implement more than one project, provided that he ensures infrastructure and administrative resources for quality implementation of the project</w:t>
      </w:r>
      <w:r w:rsidR="00545694" w:rsidRPr="001A57E3">
        <w:rPr>
          <w:szCs w:val="24"/>
          <w:lang w:val="en-GB"/>
        </w:rPr>
        <w:t xml:space="preserve">. </w:t>
      </w:r>
    </w:p>
    <w:p w:rsidR="00420065" w:rsidRPr="001A57E3" w:rsidRDefault="002552CC" w:rsidP="00371D98">
      <w:pPr>
        <w:ind w:firstLine="709"/>
        <w:jc w:val="both"/>
        <w:rPr>
          <w:szCs w:val="24"/>
          <w:lang w:val="en-GB"/>
        </w:rPr>
      </w:pPr>
      <w:r w:rsidRPr="001A57E3">
        <w:rPr>
          <w:szCs w:val="24"/>
          <w:lang w:val="en-GB"/>
        </w:rPr>
        <w:t xml:space="preserve">18. </w:t>
      </w:r>
      <w:r w:rsidR="00615B8F" w:rsidRPr="001A57E3">
        <w:rPr>
          <w:szCs w:val="24"/>
          <w:lang w:val="en-GB"/>
        </w:rPr>
        <w:t xml:space="preserve">The research leader can supervise only one project funded according to the </w:t>
      </w:r>
      <w:r w:rsidR="00EF72E5" w:rsidRPr="001A57E3">
        <w:rPr>
          <w:szCs w:val="24"/>
          <w:lang w:val="en-GB"/>
        </w:rPr>
        <w:t>Guidelines</w:t>
      </w:r>
      <w:r w:rsidR="00545694" w:rsidRPr="001A57E3">
        <w:rPr>
          <w:szCs w:val="24"/>
          <w:lang w:val="en-GB"/>
        </w:rPr>
        <w:t>.</w:t>
      </w:r>
      <w:r w:rsidRPr="001A57E3">
        <w:rPr>
          <w:szCs w:val="24"/>
          <w:lang w:val="en-GB"/>
        </w:rPr>
        <w:t xml:space="preserve"> </w:t>
      </w:r>
    </w:p>
    <w:p w:rsidR="00420065" w:rsidRPr="001A57E3" w:rsidRDefault="007F138A">
      <w:pPr>
        <w:ind w:firstLine="709"/>
        <w:jc w:val="both"/>
        <w:rPr>
          <w:szCs w:val="24"/>
          <w:lang w:val="en-GB"/>
        </w:rPr>
      </w:pPr>
      <w:r w:rsidRPr="001A57E3">
        <w:rPr>
          <w:szCs w:val="24"/>
          <w:lang w:val="en-GB"/>
        </w:rPr>
        <w:t>19</w:t>
      </w:r>
      <w:r w:rsidR="00545694" w:rsidRPr="001A57E3">
        <w:rPr>
          <w:szCs w:val="24"/>
          <w:lang w:val="en-GB"/>
        </w:rPr>
        <w:t xml:space="preserve">. </w:t>
      </w:r>
      <w:r w:rsidR="00615B8F" w:rsidRPr="001A57E3">
        <w:rPr>
          <w:szCs w:val="24"/>
          <w:lang w:val="en-GB"/>
        </w:rPr>
        <w:t xml:space="preserve">Applications with a research leader or another </w:t>
      </w:r>
      <w:r w:rsidR="00212205" w:rsidRPr="001A57E3">
        <w:rPr>
          <w:szCs w:val="24"/>
          <w:lang w:val="en-GB"/>
        </w:rPr>
        <w:t>principal</w:t>
      </w:r>
      <w:r w:rsidR="00615B8F" w:rsidRPr="001A57E3">
        <w:rPr>
          <w:szCs w:val="24"/>
          <w:lang w:val="en-GB"/>
        </w:rPr>
        <w:t xml:space="preserve"> member of the research group in respect of whom a decision </w:t>
      </w:r>
      <w:r w:rsidR="00353EE1" w:rsidRPr="001A57E3">
        <w:rPr>
          <w:szCs w:val="24"/>
          <w:lang w:val="en-GB"/>
        </w:rPr>
        <w:t xml:space="preserve">of Ombudsman for Academic Ethics and Procedures </w:t>
      </w:r>
      <w:r w:rsidR="00615B8F" w:rsidRPr="001A57E3">
        <w:rPr>
          <w:szCs w:val="24"/>
          <w:lang w:val="en-GB"/>
        </w:rPr>
        <w:t xml:space="preserve">has been passed regarding the infringement of academic ethics </w:t>
      </w:r>
      <w:r w:rsidR="00353EE1" w:rsidRPr="001A57E3">
        <w:rPr>
          <w:szCs w:val="24"/>
          <w:lang w:val="en-GB"/>
        </w:rPr>
        <w:t xml:space="preserve">and this infringement corresponds to </w:t>
      </w:r>
      <w:r w:rsidR="009662A9" w:rsidRPr="001A57E3">
        <w:rPr>
          <w:szCs w:val="24"/>
          <w:lang w:val="en-GB"/>
        </w:rPr>
        <w:t xml:space="preserve">infringement of </w:t>
      </w:r>
      <w:r w:rsidR="0048668E" w:rsidRPr="001A57E3">
        <w:rPr>
          <w:szCs w:val="24"/>
          <w:lang w:val="en-GB"/>
        </w:rPr>
        <w:t>principles of scientific activity</w:t>
      </w:r>
      <w:r w:rsidR="009662A9" w:rsidRPr="001A57E3">
        <w:rPr>
          <w:szCs w:val="24"/>
          <w:lang w:val="en-GB"/>
        </w:rPr>
        <w:t xml:space="preserve"> ethics </w:t>
      </w:r>
      <w:r w:rsidR="0048668E" w:rsidRPr="001A57E3">
        <w:rPr>
          <w:szCs w:val="24"/>
          <w:lang w:val="en-GB"/>
        </w:rPr>
        <w:t>as defined by</w:t>
      </w:r>
      <w:r w:rsidR="00353EE1" w:rsidRPr="001A57E3">
        <w:rPr>
          <w:szCs w:val="24"/>
          <w:lang w:val="en-GB"/>
        </w:rPr>
        <w:t xml:space="preserve"> the Research Council of Lithuania, </w:t>
      </w:r>
      <w:r w:rsidR="00615B8F" w:rsidRPr="001A57E3">
        <w:rPr>
          <w:szCs w:val="24"/>
          <w:lang w:val="en-GB"/>
        </w:rPr>
        <w:t xml:space="preserve">shall not be considered for a period of five years from the effective date of the decision of the Supervisor of academic ethics and procedures. The applications that indicate </w:t>
      </w:r>
      <w:r w:rsidR="00212205" w:rsidRPr="001A57E3">
        <w:rPr>
          <w:szCs w:val="24"/>
          <w:lang w:val="en-GB"/>
        </w:rPr>
        <w:t>research leader</w:t>
      </w:r>
      <w:r w:rsidR="00615B8F" w:rsidRPr="001A57E3">
        <w:rPr>
          <w:szCs w:val="24"/>
          <w:lang w:val="en-GB"/>
        </w:rPr>
        <w:t xml:space="preserve"> of the forthcoming research a researcher who has previously managed a project funded by the Research Council of Lithuania </w:t>
      </w:r>
      <w:r w:rsidR="000C6877" w:rsidRPr="001A57E3">
        <w:rPr>
          <w:szCs w:val="24"/>
          <w:lang w:val="en-GB"/>
        </w:rPr>
        <w:t xml:space="preserve">that was </w:t>
      </w:r>
      <w:r w:rsidR="00615B8F" w:rsidRPr="001A57E3">
        <w:rPr>
          <w:szCs w:val="24"/>
          <w:lang w:val="en-GB"/>
        </w:rPr>
        <w:t xml:space="preserve">terminated </w:t>
      </w:r>
      <w:r w:rsidR="00353EE1" w:rsidRPr="001A57E3">
        <w:rPr>
          <w:szCs w:val="24"/>
          <w:lang w:val="en-GB"/>
        </w:rPr>
        <w:t xml:space="preserve">or </w:t>
      </w:r>
      <w:r w:rsidR="00615B8F" w:rsidRPr="001A57E3">
        <w:rPr>
          <w:szCs w:val="24"/>
          <w:lang w:val="en-GB"/>
        </w:rPr>
        <w:t>not implemented (funded according to national and international programmes of competitive funding of research), shall not be considered for a period of three years from the effective date of the decision of the Research Council of Lithuania</w:t>
      </w:r>
      <w:r w:rsidR="00545694" w:rsidRPr="001A57E3">
        <w:rPr>
          <w:rFonts w:eastAsia="Calibri"/>
          <w:szCs w:val="24"/>
          <w:lang w:val="en-GB"/>
        </w:rPr>
        <w:t>.</w:t>
      </w:r>
      <w:r w:rsidRPr="001A57E3">
        <w:rPr>
          <w:szCs w:val="24"/>
          <w:lang w:val="en-GB"/>
        </w:rPr>
        <w:t>20</w:t>
      </w:r>
      <w:r w:rsidR="00545694" w:rsidRPr="001A57E3">
        <w:rPr>
          <w:szCs w:val="24"/>
          <w:lang w:val="en-GB"/>
        </w:rPr>
        <w:t xml:space="preserve">. </w:t>
      </w:r>
      <w:r w:rsidR="00615B8F" w:rsidRPr="001A57E3">
        <w:rPr>
          <w:szCs w:val="24"/>
          <w:lang w:val="en-GB"/>
        </w:rPr>
        <w:t xml:space="preserve">The applicant, the research leader and the partner shall comply with the requirements set forth in Chapters I and II of the </w:t>
      </w:r>
      <w:r w:rsidR="00EF72E5" w:rsidRPr="001A57E3">
        <w:rPr>
          <w:szCs w:val="24"/>
          <w:lang w:val="en-GB"/>
        </w:rPr>
        <w:t>Guidelines</w:t>
      </w:r>
      <w:r w:rsidR="00615B8F" w:rsidRPr="001A57E3">
        <w:rPr>
          <w:szCs w:val="24"/>
          <w:lang w:val="en-GB"/>
        </w:rPr>
        <w:t xml:space="preserve"> as of the last day for the submission of applications as indicated in the call</w:t>
      </w:r>
      <w:r w:rsidR="00545694" w:rsidRPr="001A57E3">
        <w:rPr>
          <w:szCs w:val="24"/>
          <w:lang w:val="en-GB"/>
        </w:rPr>
        <w:t>.</w:t>
      </w:r>
    </w:p>
    <w:p w:rsidR="00420065" w:rsidRPr="001A57E3" w:rsidRDefault="00420065">
      <w:pPr>
        <w:ind w:firstLine="709"/>
        <w:jc w:val="both"/>
        <w:rPr>
          <w:b/>
          <w:szCs w:val="24"/>
          <w:lang w:val="en-GB"/>
        </w:rPr>
      </w:pPr>
    </w:p>
    <w:p w:rsidR="00420065" w:rsidRPr="001A57E3" w:rsidRDefault="00615B8F">
      <w:pPr>
        <w:jc w:val="center"/>
        <w:rPr>
          <w:b/>
          <w:szCs w:val="24"/>
          <w:lang w:val="en-GB"/>
        </w:rPr>
      </w:pPr>
      <w:r w:rsidRPr="001A57E3">
        <w:rPr>
          <w:b/>
          <w:szCs w:val="24"/>
          <w:lang w:val="en-GB"/>
        </w:rPr>
        <w:t>CHAPTER III</w:t>
      </w:r>
    </w:p>
    <w:p w:rsidR="00420065" w:rsidRPr="001A57E3" w:rsidRDefault="00615B8F">
      <w:pPr>
        <w:jc w:val="center"/>
        <w:rPr>
          <w:b/>
          <w:szCs w:val="24"/>
          <w:lang w:val="en-GB"/>
        </w:rPr>
      </w:pPr>
      <w:r w:rsidRPr="001A57E3">
        <w:rPr>
          <w:b/>
          <w:lang w:val="en-GB"/>
        </w:rPr>
        <w:t>REQUIREMENTS FOR THE PROJECTS</w:t>
      </w:r>
    </w:p>
    <w:p w:rsidR="00420065" w:rsidRPr="001A57E3" w:rsidRDefault="00420065">
      <w:pPr>
        <w:rPr>
          <w:lang w:val="en-GB"/>
        </w:rPr>
      </w:pPr>
    </w:p>
    <w:p w:rsidR="00420065" w:rsidRPr="001A57E3" w:rsidRDefault="007F138A">
      <w:pPr>
        <w:ind w:firstLine="709"/>
        <w:jc w:val="both"/>
        <w:rPr>
          <w:i/>
          <w:lang w:val="en-GB"/>
        </w:rPr>
      </w:pPr>
      <w:r w:rsidRPr="001A57E3">
        <w:rPr>
          <w:lang w:val="en-GB"/>
        </w:rPr>
        <w:t>21</w:t>
      </w:r>
      <w:r w:rsidR="00545694" w:rsidRPr="001A57E3">
        <w:rPr>
          <w:lang w:val="en-GB"/>
        </w:rPr>
        <w:t xml:space="preserve">. </w:t>
      </w:r>
      <w:r w:rsidR="00615B8F" w:rsidRPr="001A57E3">
        <w:rPr>
          <w:lang w:val="en-GB"/>
        </w:rPr>
        <w:t xml:space="preserve">A project </w:t>
      </w:r>
      <w:r w:rsidR="00212205" w:rsidRPr="001A57E3">
        <w:rPr>
          <w:lang w:val="en-GB"/>
        </w:rPr>
        <w:t>shall</w:t>
      </w:r>
      <w:r w:rsidR="00615B8F" w:rsidRPr="001A57E3">
        <w:rPr>
          <w:lang w:val="en-GB"/>
        </w:rPr>
        <w:t xml:space="preserve"> comply with the general requirements set forth in Section 10 of the Project Regulations</w:t>
      </w:r>
      <w:r w:rsidR="00545694" w:rsidRPr="001A57E3">
        <w:rPr>
          <w:lang w:val="en-GB"/>
        </w:rPr>
        <w:t>.</w:t>
      </w:r>
    </w:p>
    <w:p w:rsidR="00420065" w:rsidRPr="001A57E3" w:rsidRDefault="007F138A">
      <w:pPr>
        <w:ind w:firstLine="709"/>
        <w:jc w:val="both"/>
        <w:rPr>
          <w:lang w:val="en-GB"/>
        </w:rPr>
      </w:pPr>
      <w:r w:rsidRPr="001A57E3">
        <w:rPr>
          <w:lang w:val="en-GB"/>
        </w:rPr>
        <w:t>22</w:t>
      </w:r>
      <w:r w:rsidR="00545694" w:rsidRPr="001A57E3">
        <w:rPr>
          <w:lang w:val="en-GB"/>
        </w:rPr>
        <w:t xml:space="preserve">. </w:t>
      </w:r>
      <w:r w:rsidR="00615B8F" w:rsidRPr="001A57E3">
        <w:rPr>
          <w:lang w:val="en-GB"/>
        </w:rPr>
        <w:t>A project shall comply with the following special project selection criteria approved by Resolution No 44P-16.1(18) of the meeting of Monitoring Committee of the Operational Programme on 16 June 2016, and specified by Resolution No 44P-18.1(20) of the meeting of the Monitoring Committee of the Operational Programme on 13 October 2016</w:t>
      </w:r>
      <w:r w:rsidR="00545694" w:rsidRPr="001A57E3">
        <w:rPr>
          <w:lang w:val="en-GB"/>
        </w:rPr>
        <w:t>:</w:t>
      </w:r>
    </w:p>
    <w:p w:rsidR="00420065" w:rsidRPr="001A57E3" w:rsidRDefault="007F138A" w:rsidP="00B127BA">
      <w:pPr>
        <w:ind w:firstLine="709"/>
        <w:jc w:val="both"/>
        <w:rPr>
          <w:lang w:val="en-GB"/>
        </w:rPr>
      </w:pPr>
      <w:r w:rsidRPr="001A57E3">
        <w:rPr>
          <w:lang w:val="en-GB"/>
        </w:rPr>
        <w:t>22</w:t>
      </w:r>
      <w:r w:rsidR="00545694" w:rsidRPr="001A57E3">
        <w:rPr>
          <w:lang w:val="en-GB"/>
        </w:rPr>
        <w:t xml:space="preserve">.1. </w:t>
      </w:r>
      <w:r w:rsidR="00B127BA" w:rsidRPr="001A57E3">
        <w:rPr>
          <w:lang w:val="en-GB"/>
        </w:rPr>
        <w:t>The project is consistent with the operating plan of at least one of the priorities under the Smart Specialisation Programme, approved by</w:t>
      </w:r>
      <w:r w:rsidR="00545694" w:rsidRPr="001A57E3">
        <w:rPr>
          <w:lang w:val="en-GB"/>
        </w:rPr>
        <w:t xml:space="preserve">: </w:t>
      </w:r>
      <w:r w:rsidR="00B127BA" w:rsidRPr="001A57E3">
        <w:rPr>
          <w:lang w:val="en-GB"/>
        </w:rPr>
        <w:t xml:space="preserve">Order No. V-59/4-48 of the Minister of Education and Science and the Minister of Economy of the Republic of Lithuania on 29 January 2015 </w:t>
      </w:r>
      <w:r w:rsidR="00B127BA" w:rsidRPr="001A57E3">
        <w:rPr>
          <w:i/>
          <w:lang w:val="en-GB"/>
        </w:rPr>
        <w:t xml:space="preserve">On the approval of the priority action plans of the priority area </w:t>
      </w:r>
      <w:r w:rsidR="00B127BA" w:rsidRPr="001A57E3">
        <w:rPr>
          <w:i/>
          <w:u w:val="single"/>
          <w:lang w:val="en-GB"/>
        </w:rPr>
        <w:t>Agro-innovations and food technologies</w:t>
      </w:r>
      <w:r w:rsidR="00B127BA" w:rsidRPr="001A57E3">
        <w:rPr>
          <w:i/>
          <w:lang w:val="en-GB"/>
        </w:rPr>
        <w:t xml:space="preserve"> of research and (social and cultural) development and innovations (smart specialisation</w:t>
      </w:r>
      <w:r w:rsidR="00B127BA" w:rsidRPr="001A57E3">
        <w:rPr>
          <w:lang w:val="en-GB"/>
        </w:rPr>
        <w:t xml:space="preserve">); Order No. V-133/4-88 of 20 February 2015 of the Minister of Education and Science and the Minister of Economy of the Republic of Lithuania </w:t>
      </w:r>
      <w:r w:rsidR="00B127BA" w:rsidRPr="001A57E3">
        <w:rPr>
          <w:i/>
          <w:lang w:val="en-GB"/>
        </w:rPr>
        <w:t xml:space="preserve">On the approval of the operational plan of the priority area </w:t>
      </w:r>
      <w:r w:rsidR="00B127BA" w:rsidRPr="001A57E3">
        <w:rPr>
          <w:i/>
          <w:u w:val="single"/>
          <w:lang w:val="en-GB"/>
        </w:rPr>
        <w:t>New production processes, materials and technologies</w:t>
      </w:r>
      <w:r w:rsidR="00B127BA" w:rsidRPr="001A57E3">
        <w:rPr>
          <w:i/>
          <w:lang w:val="en-GB"/>
        </w:rPr>
        <w:t xml:space="preserve"> of the priority research and (social and cultural) development (smart specialization</w:t>
      </w:r>
      <w:r w:rsidR="00B127BA" w:rsidRPr="001A57E3">
        <w:rPr>
          <w:lang w:val="en-GB"/>
        </w:rPr>
        <w:t xml:space="preserve">); Order No. V-290/4-175 of the Minister of Education and Science and the Minister of Economy of the Republic of Lithuania on 31 March 2015 </w:t>
      </w:r>
      <w:r w:rsidR="00B127BA" w:rsidRPr="001A57E3">
        <w:rPr>
          <w:i/>
          <w:lang w:val="en-GB"/>
        </w:rPr>
        <w:t xml:space="preserve">On the approval of the operational plan of the priority area </w:t>
      </w:r>
      <w:r w:rsidR="00B127BA" w:rsidRPr="001A57E3">
        <w:rPr>
          <w:i/>
          <w:u w:val="single"/>
          <w:lang w:val="en-GB"/>
        </w:rPr>
        <w:t>Inclusive and creative society</w:t>
      </w:r>
      <w:r w:rsidR="00B127BA" w:rsidRPr="001A57E3">
        <w:rPr>
          <w:i/>
          <w:lang w:val="en-GB"/>
        </w:rPr>
        <w:t xml:space="preserve"> of the priority research and (social and cultural) development (smart specialization)</w:t>
      </w:r>
      <w:r w:rsidR="00B127BA" w:rsidRPr="001A57E3">
        <w:rPr>
          <w:lang w:val="en-GB"/>
        </w:rPr>
        <w:t xml:space="preserve">; Order No. V-291/4-176 of 31 March 2015 of the Minister of Education and Science and the Minister of Economy of the Republic of Lithuania </w:t>
      </w:r>
      <w:r w:rsidR="00B127BA" w:rsidRPr="001A57E3">
        <w:rPr>
          <w:i/>
          <w:lang w:val="en-GB"/>
        </w:rPr>
        <w:t xml:space="preserve">On the approval of the operational plan of the priority area </w:t>
      </w:r>
      <w:r w:rsidR="00B127BA" w:rsidRPr="001A57E3">
        <w:rPr>
          <w:i/>
          <w:u w:val="single"/>
          <w:lang w:val="en-GB"/>
        </w:rPr>
        <w:t>Energy and sustainable environment</w:t>
      </w:r>
      <w:r w:rsidR="00B127BA" w:rsidRPr="001A57E3">
        <w:rPr>
          <w:i/>
          <w:lang w:val="en-GB"/>
        </w:rPr>
        <w:t xml:space="preserve"> of the priority research and (social and cultural) development (smart specialization)</w:t>
      </w:r>
      <w:r w:rsidR="00B127BA" w:rsidRPr="001A57E3">
        <w:rPr>
          <w:lang w:val="en-GB"/>
        </w:rPr>
        <w:t xml:space="preserve">; Order No. 363/4-239 of the Minister of Education and Science and the Minister of Economy of the Republic of Lithuania on 17 April 2015 </w:t>
      </w:r>
      <w:r w:rsidR="00B127BA" w:rsidRPr="001A57E3">
        <w:rPr>
          <w:i/>
          <w:lang w:val="en-GB"/>
        </w:rPr>
        <w:t xml:space="preserve">On the approval of the operational plan of the priority area </w:t>
      </w:r>
      <w:r w:rsidR="00B127BA" w:rsidRPr="001A57E3">
        <w:rPr>
          <w:i/>
          <w:u w:val="single"/>
          <w:lang w:val="en-GB"/>
        </w:rPr>
        <w:t>Transport, logistic and information and communication technologies</w:t>
      </w:r>
      <w:r w:rsidR="00B127BA" w:rsidRPr="001A57E3">
        <w:rPr>
          <w:i/>
          <w:lang w:val="en-GB"/>
        </w:rPr>
        <w:t xml:space="preserve"> of the priority research and (social and cultural) development (smart specialization)</w:t>
      </w:r>
      <w:r w:rsidR="00B127BA" w:rsidRPr="001A57E3">
        <w:rPr>
          <w:lang w:val="en-GB"/>
        </w:rPr>
        <w:t xml:space="preserve">; Order No. V-422/4-293 of the Minister of Education and Science and the Minister of Economy of the Republic of Lithuania on 30 April 2015 </w:t>
      </w:r>
      <w:r w:rsidR="00B127BA" w:rsidRPr="001A57E3">
        <w:rPr>
          <w:i/>
          <w:lang w:val="en-GB"/>
        </w:rPr>
        <w:t xml:space="preserve">On the approval of the operational plan of the priority area </w:t>
      </w:r>
      <w:r w:rsidR="00B127BA" w:rsidRPr="001A57E3">
        <w:rPr>
          <w:i/>
          <w:u w:val="single"/>
          <w:lang w:val="en-GB"/>
        </w:rPr>
        <w:t>Health technologies and biotechnologies</w:t>
      </w:r>
      <w:r w:rsidR="00B127BA" w:rsidRPr="001A57E3">
        <w:rPr>
          <w:i/>
          <w:lang w:val="en-GB"/>
        </w:rPr>
        <w:t xml:space="preserve"> of the priority research and (social and cultural) development</w:t>
      </w:r>
      <w:r w:rsidR="00545694" w:rsidRPr="001A57E3">
        <w:rPr>
          <w:lang w:val="en-GB"/>
        </w:rPr>
        <w:t>.</w:t>
      </w:r>
      <w:r w:rsidR="00B127BA" w:rsidRPr="001A57E3">
        <w:rPr>
          <w:lang w:val="en-GB"/>
        </w:rPr>
        <w:t xml:space="preserve"> It is assessed whether or not the project contributes to the implementation of the Smart Specialisation Programme areas and their priorities by developing the areas in R&amp;D that are consistent with at least one thematic specificity prescribed in the operational plan of the relevant priority</w:t>
      </w:r>
      <w:r w:rsidR="00545694" w:rsidRPr="001A57E3">
        <w:rPr>
          <w:lang w:val="en-GB"/>
        </w:rPr>
        <w:t>;</w:t>
      </w:r>
    </w:p>
    <w:p w:rsidR="00420065" w:rsidRPr="001A57E3" w:rsidRDefault="007F138A">
      <w:pPr>
        <w:ind w:firstLine="709"/>
        <w:jc w:val="both"/>
        <w:rPr>
          <w:lang w:val="en-GB"/>
        </w:rPr>
      </w:pPr>
      <w:r w:rsidRPr="001A57E3">
        <w:rPr>
          <w:iCs/>
          <w:lang w:val="en-GB"/>
        </w:rPr>
        <w:t>22</w:t>
      </w:r>
      <w:r w:rsidR="00545694" w:rsidRPr="001A57E3">
        <w:rPr>
          <w:iCs/>
          <w:lang w:val="en-GB"/>
        </w:rPr>
        <w:t xml:space="preserve">.2. </w:t>
      </w:r>
      <w:r w:rsidR="00B127BA" w:rsidRPr="001A57E3">
        <w:rPr>
          <w:lang w:val="en-GB"/>
        </w:rPr>
        <w:t xml:space="preserve">The Applicant shall have an operational procedure for managing the rights arising from the intellectual activity results (whether or not the Applicant has implemented the requirements set forth in Articles 10, 12, 16 and 17 of the </w:t>
      </w:r>
      <w:r w:rsidR="00B127BA" w:rsidRPr="001A57E3">
        <w:rPr>
          <w:i/>
          <w:lang w:val="en-GB"/>
        </w:rPr>
        <w:t>Recommendations for Lithuanian research and studies institutions regarding the rights arising from results of intellectual activity,</w:t>
      </w:r>
      <w:r w:rsidR="00B127BA" w:rsidRPr="001A57E3">
        <w:rPr>
          <w:lang w:val="en-GB"/>
        </w:rPr>
        <w:t xml:space="preserve"> approved by Order No ISAK-2462 of the Minister of Education and Science of the Republic of Lithuania on 1 December 2009, and has submitted to the Implementing authority the supporting documents, or the relevant links to public documents)</w:t>
      </w:r>
      <w:r w:rsidR="00545694" w:rsidRPr="001A57E3">
        <w:rPr>
          <w:lang w:val="en-GB"/>
        </w:rPr>
        <w:t>.</w:t>
      </w:r>
    </w:p>
    <w:p w:rsidR="00420065" w:rsidRPr="001A57E3" w:rsidRDefault="007F138A">
      <w:pPr>
        <w:ind w:firstLine="709"/>
        <w:jc w:val="both"/>
        <w:rPr>
          <w:lang w:val="en-GB"/>
        </w:rPr>
      </w:pPr>
      <w:r w:rsidRPr="001A57E3">
        <w:rPr>
          <w:lang w:val="en-GB"/>
        </w:rPr>
        <w:t>23</w:t>
      </w:r>
      <w:r w:rsidR="00545694" w:rsidRPr="001A57E3">
        <w:rPr>
          <w:lang w:val="en-GB"/>
        </w:rPr>
        <w:t xml:space="preserve">. </w:t>
      </w:r>
      <w:r w:rsidR="009045F5" w:rsidRPr="001A57E3">
        <w:rPr>
          <w:lang w:val="en-GB"/>
        </w:rPr>
        <w:t xml:space="preserve">The selection of projects shall be carried out following the priority selection criteria referred to in Annex 2 to the </w:t>
      </w:r>
      <w:r w:rsidR="00EF72E5" w:rsidRPr="001A57E3">
        <w:rPr>
          <w:lang w:val="en-GB"/>
        </w:rPr>
        <w:t>Guidelines</w:t>
      </w:r>
      <w:r w:rsidR="009045F5" w:rsidRPr="001A57E3">
        <w:rPr>
          <w:lang w:val="en-GB"/>
        </w:rPr>
        <w:t xml:space="preserve">. The projects are scored points for compliance with the priority project selection criteria, and the maximum score according to each criterion is indicated in Annex 2 to the </w:t>
      </w:r>
      <w:r w:rsidR="00EF72E5" w:rsidRPr="001A57E3">
        <w:rPr>
          <w:lang w:val="en-GB"/>
        </w:rPr>
        <w:t>Guidelines</w:t>
      </w:r>
      <w:r w:rsidR="009045F5" w:rsidRPr="001A57E3">
        <w:rPr>
          <w:lang w:val="en-GB"/>
        </w:rPr>
        <w:t xml:space="preserve">. The minimum score required under the present </w:t>
      </w:r>
      <w:r w:rsidR="00EF72E5" w:rsidRPr="001A57E3">
        <w:rPr>
          <w:lang w:val="en-GB"/>
        </w:rPr>
        <w:t>Guidelines</w:t>
      </w:r>
      <w:r w:rsidR="009045F5" w:rsidRPr="001A57E3">
        <w:rPr>
          <w:lang w:val="en-GB"/>
        </w:rPr>
        <w:t xml:space="preserve"> is 59, of which not less than 15 points shall be collected according to the selection criterion referred to in </w:t>
      </w:r>
      <w:r w:rsidR="00673D89" w:rsidRPr="001A57E3">
        <w:rPr>
          <w:lang w:val="en-GB"/>
        </w:rPr>
        <w:t>Article</w:t>
      </w:r>
      <w:r w:rsidR="009045F5" w:rsidRPr="001A57E3">
        <w:rPr>
          <w:lang w:val="en-GB"/>
        </w:rPr>
        <w:t xml:space="preserve"> 1 of Annex 2 of the </w:t>
      </w:r>
      <w:r w:rsidR="00EF72E5" w:rsidRPr="001A57E3">
        <w:rPr>
          <w:lang w:val="en-GB"/>
        </w:rPr>
        <w:t>Guidelines</w:t>
      </w:r>
      <w:r w:rsidR="009045F5" w:rsidRPr="001A57E3">
        <w:rPr>
          <w:lang w:val="en-GB"/>
        </w:rPr>
        <w:t xml:space="preserve">, not less than 24 points are required according to the project selection criterion referred to in </w:t>
      </w:r>
      <w:r w:rsidR="00673D89" w:rsidRPr="001A57E3">
        <w:rPr>
          <w:lang w:val="en-GB"/>
        </w:rPr>
        <w:t>Article</w:t>
      </w:r>
      <w:r w:rsidR="009045F5" w:rsidRPr="001A57E3">
        <w:rPr>
          <w:lang w:val="en-GB"/>
        </w:rPr>
        <w:t xml:space="preserve"> 2 of Annex 2 to the </w:t>
      </w:r>
      <w:r w:rsidR="00EF72E5" w:rsidRPr="001A57E3">
        <w:rPr>
          <w:lang w:val="en-GB"/>
        </w:rPr>
        <w:t>Guidelines</w:t>
      </w:r>
      <w:r w:rsidR="009045F5" w:rsidRPr="001A57E3">
        <w:rPr>
          <w:lang w:val="en-GB"/>
        </w:rPr>
        <w:t xml:space="preserve">, and no less than 20 points shall be collected according to the project selection criteria referred to in </w:t>
      </w:r>
      <w:r w:rsidR="00673D89" w:rsidRPr="001A57E3">
        <w:rPr>
          <w:lang w:val="en-GB"/>
        </w:rPr>
        <w:t>Article</w:t>
      </w:r>
      <w:r w:rsidR="009045F5" w:rsidRPr="001A57E3">
        <w:rPr>
          <w:lang w:val="en-GB"/>
        </w:rPr>
        <w:t xml:space="preserve"> 3 of Annex 2 to the </w:t>
      </w:r>
      <w:r w:rsidR="00EF72E5" w:rsidRPr="001A57E3">
        <w:rPr>
          <w:lang w:val="en-GB"/>
        </w:rPr>
        <w:t>Guidelines</w:t>
      </w:r>
      <w:r w:rsidR="009045F5" w:rsidRPr="001A57E3">
        <w:rPr>
          <w:lang w:val="en-GB"/>
        </w:rPr>
        <w:t xml:space="preserve">. The minimum mandatory number of points according to each criterion is indicated in Annex 2 to the </w:t>
      </w:r>
      <w:r w:rsidR="00EF72E5" w:rsidRPr="001A57E3">
        <w:rPr>
          <w:lang w:val="en-GB"/>
        </w:rPr>
        <w:t>Guidelines</w:t>
      </w:r>
      <w:r w:rsidR="00545694" w:rsidRPr="001A57E3">
        <w:rPr>
          <w:lang w:val="en-GB"/>
        </w:rPr>
        <w:t>.</w:t>
      </w:r>
    </w:p>
    <w:p w:rsidR="00420065" w:rsidRPr="001A57E3" w:rsidRDefault="007F138A">
      <w:pPr>
        <w:ind w:firstLine="709"/>
        <w:jc w:val="both"/>
        <w:rPr>
          <w:lang w:val="en-GB"/>
        </w:rPr>
      </w:pPr>
      <w:r w:rsidRPr="001A57E3">
        <w:rPr>
          <w:lang w:val="en-GB"/>
        </w:rPr>
        <w:t>24</w:t>
      </w:r>
      <w:r w:rsidR="00545694" w:rsidRPr="001A57E3">
        <w:rPr>
          <w:lang w:val="en-GB"/>
        </w:rPr>
        <w:t xml:space="preserve">. </w:t>
      </w:r>
      <w:r w:rsidR="00111615" w:rsidRPr="001A57E3">
        <w:rPr>
          <w:lang w:val="en-GB"/>
        </w:rPr>
        <w:t xml:space="preserve">Where in relation to the benefit and quality assessment </w:t>
      </w:r>
      <w:r w:rsidR="00212205" w:rsidRPr="001A57E3">
        <w:rPr>
          <w:lang w:val="en-GB"/>
        </w:rPr>
        <w:t>a project is scored less than 59</w:t>
      </w:r>
      <w:r w:rsidR="00111615" w:rsidRPr="001A57E3">
        <w:rPr>
          <w:lang w:val="en-GB"/>
        </w:rPr>
        <w:t xml:space="preserve"> points, or the project fails to obtain the minimum score referred to in </w:t>
      </w:r>
      <w:r w:rsidR="00673D89" w:rsidRPr="001A57E3">
        <w:rPr>
          <w:lang w:val="en-GB"/>
        </w:rPr>
        <w:t>Article</w:t>
      </w:r>
      <w:r w:rsidR="00111615" w:rsidRPr="001A57E3">
        <w:rPr>
          <w:lang w:val="en-GB"/>
        </w:rPr>
        <w:t xml:space="preserve"> 23 of </w:t>
      </w:r>
      <w:r w:rsidR="00EF72E5" w:rsidRPr="001A57E3">
        <w:rPr>
          <w:lang w:val="en-GB"/>
        </w:rPr>
        <w:t>Guidelines</w:t>
      </w:r>
      <w:r w:rsidR="00111615" w:rsidRPr="001A57E3">
        <w:rPr>
          <w:lang w:val="en-GB"/>
        </w:rPr>
        <w:t xml:space="preserve"> according to each priority project selection criterion, the application shall be rejected.</w:t>
      </w:r>
    </w:p>
    <w:p w:rsidR="00420065" w:rsidRPr="001A57E3" w:rsidRDefault="007F138A">
      <w:pPr>
        <w:ind w:firstLine="709"/>
        <w:jc w:val="both"/>
        <w:rPr>
          <w:lang w:val="en-GB"/>
        </w:rPr>
      </w:pPr>
      <w:r w:rsidRPr="001A57E3">
        <w:rPr>
          <w:lang w:val="en-GB"/>
        </w:rPr>
        <w:t>25</w:t>
      </w:r>
      <w:r w:rsidR="00545694" w:rsidRPr="001A57E3">
        <w:rPr>
          <w:lang w:val="en-GB"/>
        </w:rPr>
        <w:t xml:space="preserve">. </w:t>
      </w:r>
      <w:r w:rsidR="00111615" w:rsidRPr="001A57E3">
        <w:rPr>
          <w:lang w:val="en-GB"/>
        </w:rPr>
        <w:t xml:space="preserve">According to the </w:t>
      </w:r>
      <w:r w:rsidR="00EF72E5" w:rsidRPr="001A57E3">
        <w:rPr>
          <w:lang w:val="en-GB"/>
        </w:rPr>
        <w:t>Guidelines</w:t>
      </w:r>
      <w:r w:rsidR="00111615" w:rsidRPr="001A57E3">
        <w:rPr>
          <w:lang w:val="en-GB"/>
        </w:rPr>
        <w:t>, no funding shall be allocated to large-scale projects</w:t>
      </w:r>
      <w:r w:rsidR="00545694" w:rsidRPr="001A57E3">
        <w:rPr>
          <w:lang w:val="en-GB"/>
        </w:rPr>
        <w:t>.</w:t>
      </w:r>
    </w:p>
    <w:p w:rsidR="00420065" w:rsidRPr="001A57E3" w:rsidRDefault="007F138A">
      <w:pPr>
        <w:ind w:firstLine="709"/>
        <w:jc w:val="both"/>
        <w:rPr>
          <w:lang w:val="en-GB"/>
        </w:rPr>
      </w:pPr>
      <w:r w:rsidRPr="001A57E3">
        <w:rPr>
          <w:lang w:val="en-GB"/>
        </w:rPr>
        <w:t>26</w:t>
      </w:r>
      <w:r w:rsidR="00545694" w:rsidRPr="001A57E3">
        <w:rPr>
          <w:lang w:val="en-GB"/>
        </w:rPr>
        <w:t xml:space="preserve">. </w:t>
      </w:r>
      <w:r w:rsidR="00111615" w:rsidRPr="001A57E3">
        <w:rPr>
          <w:lang w:val="en-GB"/>
        </w:rPr>
        <w:t xml:space="preserve">The duration of the projects submitted according to the </w:t>
      </w:r>
      <w:r w:rsidR="00EF72E5" w:rsidRPr="001A57E3">
        <w:rPr>
          <w:lang w:val="en-GB"/>
        </w:rPr>
        <w:t>Guidelines</w:t>
      </w:r>
      <w:r w:rsidR="00111615" w:rsidRPr="001A57E3">
        <w:rPr>
          <w:lang w:val="en-GB"/>
        </w:rPr>
        <w:t xml:space="preserve"> shall be maximum 48 months from the Grant Agreement signature date, but shall not violate Sub-</w:t>
      </w:r>
      <w:r w:rsidR="00673D89" w:rsidRPr="001A57E3">
        <w:rPr>
          <w:lang w:val="en-GB"/>
        </w:rPr>
        <w:t>Article</w:t>
      </w:r>
      <w:r w:rsidR="00111615" w:rsidRPr="001A57E3">
        <w:rPr>
          <w:lang w:val="en-GB"/>
        </w:rPr>
        <w:t xml:space="preserve"> 213.1 of the Project Regulations</w:t>
      </w:r>
      <w:r w:rsidR="00545694" w:rsidRPr="001A57E3">
        <w:rPr>
          <w:lang w:val="en-GB"/>
        </w:rPr>
        <w:t>.</w:t>
      </w:r>
      <w:r w:rsidR="005C0F8D" w:rsidRPr="001A57E3">
        <w:rPr>
          <w:lang w:val="en-GB"/>
        </w:rPr>
        <w:t xml:space="preserve"> </w:t>
      </w:r>
    </w:p>
    <w:p w:rsidR="00420065" w:rsidRPr="001A57E3" w:rsidRDefault="007F138A">
      <w:pPr>
        <w:ind w:firstLine="709"/>
        <w:jc w:val="both"/>
        <w:rPr>
          <w:lang w:val="en-GB"/>
        </w:rPr>
      </w:pPr>
      <w:r w:rsidRPr="001A57E3">
        <w:rPr>
          <w:lang w:val="en-GB"/>
        </w:rPr>
        <w:t>27</w:t>
      </w:r>
      <w:r w:rsidR="00545694" w:rsidRPr="001A57E3">
        <w:rPr>
          <w:lang w:val="en-GB"/>
        </w:rPr>
        <w:t xml:space="preserve">. </w:t>
      </w:r>
      <w:r w:rsidR="00111615" w:rsidRPr="001A57E3">
        <w:rPr>
          <w:lang w:val="en-GB"/>
        </w:rPr>
        <w:t>In certain cases in view of some objective reasons that the beneficiary was not in a position to foresee at the time of the submission and the assessment of the application, the duration of the projects may be extended in the procedure specified in the Project Regulations, but in any case, for longer than for 6 months, and without infringing the time limits referred to in Sub-</w:t>
      </w:r>
      <w:r w:rsidR="00673D89" w:rsidRPr="001A57E3">
        <w:rPr>
          <w:lang w:val="en-GB"/>
        </w:rPr>
        <w:t>Article</w:t>
      </w:r>
      <w:r w:rsidR="00111615" w:rsidRPr="001A57E3">
        <w:rPr>
          <w:lang w:val="en-GB"/>
        </w:rPr>
        <w:t>s 213.1 and 213.5 of the Project Regulations</w:t>
      </w:r>
      <w:r w:rsidR="00545694" w:rsidRPr="001A57E3">
        <w:rPr>
          <w:iCs/>
          <w:lang w:val="en-GB"/>
        </w:rPr>
        <w:t>.</w:t>
      </w:r>
    </w:p>
    <w:p w:rsidR="00420065" w:rsidRPr="001A57E3" w:rsidRDefault="007F138A">
      <w:pPr>
        <w:ind w:firstLine="709"/>
        <w:jc w:val="both"/>
        <w:rPr>
          <w:rFonts w:eastAsia="Calibri"/>
          <w:lang w:val="en-GB"/>
        </w:rPr>
      </w:pPr>
      <w:r w:rsidRPr="001A57E3">
        <w:rPr>
          <w:lang w:val="en-GB"/>
        </w:rPr>
        <w:t>28</w:t>
      </w:r>
      <w:r w:rsidR="00545694" w:rsidRPr="001A57E3">
        <w:rPr>
          <w:lang w:val="en-GB"/>
        </w:rPr>
        <w:t xml:space="preserve">. </w:t>
      </w:r>
      <w:r w:rsidR="00111615" w:rsidRPr="001A57E3">
        <w:rPr>
          <w:lang w:val="en-GB"/>
        </w:rPr>
        <w:t>The activities under the project must be all carried out in the Republic of Lithuania. Project activities may be carried out in other Member States of the EU, provided the products, results and the benefit (or part thereof corresponding to the financial contribution of the Republic of Lithuania) are allocated to the Republic of Lithuania. Project activities venue is the location at which project activities are being implemented by the project team as defined in the Recommendation regarding the compliance of project expenses with the requirements of structural funds of the European Union. In case the project activities are implemented in the Republic of Lithuania, the expenses related to such activities shall not exceed 15 percent of the total eligible costs of the project</w:t>
      </w:r>
      <w:r w:rsidR="00545694" w:rsidRPr="001A57E3">
        <w:rPr>
          <w:rFonts w:eastAsia="Calibri"/>
          <w:lang w:val="en-GB"/>
        </w:rPr>
        <w:t>.</w:t>
      </w:r>
    </w:p>
    <w:p w:rsidR="00420065" w:rsidRPr="001A57E3" w:rsidRDefault="007F138A">
      <w:pPr>
        <w:ind w:firstLine="709"/>
        <w:jc w:val="both"/>
        <w:rPr>
          <w:rFonts w:eastAsia="Calibri"/>
          <w:lang w:val="en-GB"/>
        </w:rPr>
      </w:pPr>
      <w:r w:rsidRPr="001A57E3">
        <w:rPr>
          <w:rFonts w:eastAsia="Calibri"/>
          <w:lang w:val="en-GB"/>
        </w:rPr>
        <w:t>29</w:t>
      </w:r>
      <w:r w:rsidR="00545694" w:rsidRPr="001A57E3">
        <w:rPr>
          <w:rFonts w:eastAsia="Calibri"/>
          <w:lang w:val="en-GB"/>
        </w:rPr>
        <w:t xml:space="preserve">. </w:t>
      </w:r>
      <w:r w:rsidR="00243B5E" w:rsidRPr="001A57E3">
        <w:rPr>
          <w:lang w:val="en-GB"/>
        </w:rPr>
        <w:t>In Annex 2 to the application the Applicant shall specify the smart specialisation area and the priorities, specified in the Smart Specialisation Programme, which the project is attributed to and shall indicate the thematic specificity that the project is consistent with. The ultimate allocation or a refusal to allocate to a specific smart specialisation area and its priority shall be determined by the Implementing authority during the assessment of the application. In the event that the Implementing authority determines that a project should be assigned to a different smart specialisation area, and/or the priority of the area than was indicated by the Applicant, the Applicant is suggested to specify the information provided in the application regarding the allocation of the project to a smart specialisation area and/or its priority, and/or thematic specificity</w:t>
      </w:r>
      <w:r w:rsidR="00545694" w:rsidRPr="001A57E3">
        <w:rPr>
          <w:rFonts w:eastAsia="Calibri"/>
          <w:lang w:val="en-GB"/>
        </w:rPr>
        <w:t>.</w:t>
      </w:r>
    </w:p>
    <w:p w:rsidR="00420065" w:rsidRPr="001A57E3" w:rsidRDefault="007F138A">
      <w:pPr>
        <w:ind w:firstLine="709"/>
        <w:jc w:val="both"/>
        <w:rPr>
          <w:lang w:val="en-GB"/>
        </w:rPr>
      </w:pPr>
      <w:r w:rsidRPr="001A57E3">
        <w:rPr>
          <w:lang w:val="en-GB"/>
        </w:rPr>
        <w:t>30</w:t>
      </w:r>
      <w:r w:rsidR="00545694" w:rsidRPr="001A57E3">
        <w:rPr>
          <w:lang w:val="en-GB"/>
        </w:rPr>
        <w:t xml:space="preserve">. </w:t>
      </w:r>
      <w:r w:rsidR="00484F09" w:rsidRPr="001A57E3">
        <w:rPr>
          <w:lang w:val="en-GB"/>
        </w:rPr>
        <w:t>A project must pursue the following Measure implementation monitoring indicators</w:t>
      </w:r>
      <w:r w:rsidR="00545694" w:rsidRPr="001A57E3">
        <w:rPr>
          <w:lang w:val="en-GB"/>
        </w:rPr>
        <w:t>:</w:t>
      </w:r>
    </w:p>
    <w:p w:rsidR="00420065" w:rsidRPr="001A57E3" w:rsidRDefault="007F138A" w:rsidP="00484F09">
      <w:pPr>
        <w:ind w:firstLine="709"/>
        <w:jc w:val="both"/>
        <w:rPr>
          <w:lang w:val="en-GB"/>
        </w:rPr>
      </w:pPr>
      <w:r w:rsidRPr="001A57E3">
        <w:rPr>
          <w:lang w:val="en-GB"/>
        </w:rPr>
        <w:t>30</w:t>
      </w:r>
      <w:r w:rsidR="00545694" w:rsidRPr="001A57E3">
        <w:rPr>
          <w:lang w:val="en-GB"/>
        </w:rPr>
        <w:t xml:space="preserve">.1. </w:t>
      </w:r>
      <w:r w:rsidR="00484F09" w:rsidRPr="001A57E3">
        <w:rPr>
          <w:lang w:val="en-GB"/>
        </w:rPr>
        <w:t>‘Implemented R&amp;D projects’ (indicator code P.S.396); minimum target value</w:t>
      </w:r>
      <w:r w:rsidR="00123501" w:rsidRPr="001A57E3">
        <w:rPr>
          <w:lang w:val="en-GB"/>
        </w:rPr>
        <w:t>—</w:t>
      </w:r>
      <w:r w:rsidR="00484F09" w:rsidRPr="001A57E3">
        <w:rPr>
          <w:lang w:val="en-GB"/>
        </w:rPr>
        <w:t>1 project</w:t>
      </w:r>
      <w:r w:rsidR="00545694" w:rsidRPr="001A57E3">
        <w:rPr>
          <w:lang w:val="en-GB"/>
        </w:rPr>
        <w:t>;</w:t>
      </w:r>
    </w:p>
    <w:p w:rsidR="00420065" w:rsidRPr="001A57E3" w:rsidRDefault="007F138A">
      <w:pPr>
        <w:ind w:firstLine="709"/>
        <w:jc w:val="both"/>
        <w:rPr>
          <w:lang w:val="en-GB"/>
        </w:rPr>
      </w:pPr>
      <w:r w:rsidRPr="001A57E3">
        <w:rPr>
          <w:lang w:val="en-GB"/>
        </w:rPr>
        <w:t>30</w:t>
      </w:r>
      <w:r w:rsidR="00545694" w:rsidRPr="001A57E3">
        <w:rPr>
          <w:lang w:val="en-GB"/>
        </w:rPr>
        <w:t xml:space="preserve">.2. </w:t>
      </w:r>
      <w:r w:rsidR="00484F09" w:rsidRPr="001A57E3">
        <w:rPr>
          <w:lang w:val="en-GB"/>
        </w:rPr>
        <w:t>‘Patent applications filed by research and studies institutions that have benefited from investment</w:t>
      </w:r>
      <w:r w:rsidR="00484F09" w:rsidRPr="001A57E3">
        <w:rPr>
          <w:cs/>
          <w:lang w:val="en-GB"/>
        </w:rPr>
        <w:t xml:space="preserve">’ </w:t>
      </w:r>
      <w:r w:rsidR="00484F09" w:rsidRPr="001A57E3">
        <w:rPr>
          <w:lang w:val="en-GB"/>
        </w:rPr>
        <w:t>(indicator code P.S.305), minimum target value</w:t>
      </w:r>
      <w:r w:rsidR="00123501" w:rsidRPr="001A57E3">
        <w:rPr>
          <w:lang w:val="en-GB"/>
        </w:rPr>
        <w:t>—</w:t>
      </w:r>
      <w:r w:rsidR="00484F09" w:rsidRPr="001A57E3">
        <w:rPr>
          <w:lang w:val="en-GB"/>
        </w:rPr>
        <w:t xml:space="preserve">1 patent application, or </w:t>
      </w:r>
      <w:r w:rsidR="00484F09" w:rsidRPr="001A57E3">
        <w:rPr>
          <w:cs/>
          <w:lang w:val="en-GB"/>
        </w:rPr>
        <w:t>‘</w:t>
      </w:r>
      <w:r w:rsidR="00484F09" w:rsidRPr="001A57E3">
        <w:rPr>
          <w:lang w:val="en-GB"/>
        </w:rPr>
        <w:t>Patent applications by university hospitals that have benefited from investment</w:t>
      </w:r>
      <w:r w:rsidR="00484F09" w:rsidRPr="001A57E3">
        <w:rPr>
          <w:cs/>
          <w:lang w:val="en-GB"/>
        </w:rPr>
        <w:t xml:space="preserve">’ </w:t>
      </w:r>
      <w:r w:rsidR="00484F09" w:rsidRPr="001A57E3">
        <w:rPr>
          <w:lang w:val="en-GB"/>
        </w:rPr>
        <w:t>(indicator code P.N.741), minimum target value</w:t>
      </w:r>
      <w:r w:rsidR="00123501" w:rsidRPr="001A57E3">
        <w:rPr>
          <w:lang w:val="en-GB"/>
        </w:rPr>
        <w:t>—</w:t>
      </w:r>
      <w:r w:rsidR="00484F09" w:rsidRPr="001A57E3">
        <w:rPr>
          <w:lang w:val="en-GB"/>
        </w:rPr>
        <w:t>1 patent application</w:t>
      </w:r>
      <w:r w:rsidR="00545694" w:rsidRPr="001A57E3">
        <w:rPr>
          <w:lang w:val="en-GB"/>
        </w:rPr>
        <w:t>.</w:t>
      </w:r>
    </w:p>
    <w:p w:rsidR="00420065" w:rsidRPr="001A57E3" w:rsidRDefault="007F138A">
      <w:pPr>
        <w:ind w:firstLine="709"/>
        <w:jc w:val="both"/>
        <w:rPr>
          <w:lang w:val="en-GB"/>
        </w:rPr>
      </w:pPr>
      <w:r w:rsidRPr="001A57E3">
        <w:rPr>
          <w:lang w:val="en-GB"/>
        </w:rPr>
        <w:t xml:space="preserve">31. </w:t>
      </w:r>
      <w:r w:rsidR="00484F09" w:rsidRPr="001A57E3">
        <w:rPr>
          <w:lang w:val="en-GB"/>
        </w:rPr>
        <w:t xml:space="preserve">The </w:t>
      </w:r>
      <w:r w:rsidR="00EF72E5" w:rsidRPr="001A57E3">
        <w:rPr>
          <w:lang w:val="en-GB"/>
        </w:rPr>
        <w:t>Guidelines</w:t>
      </w:r>
      <w:r w:rsidR="00484F09" w:rsidRPr="001A57E3">
        <w:rPr>
          <w:lang w:val="en-GB"/>
        </w:rPr>
        <w:t xml:space="preserve"> of the procedure for the calculation of monitoring indicators referred to in </w:t>
      </w:r>
      <w:r w:rsidR="00673D89" w:rsidRPr="001A57E3">
        <w:rPr>
          <w:lang w:val="en-GB"/>
        </w:rPr>
        <w:t>Article</w:t>
      </w:r>
      <w:r w:rsidR="00484F09" w:rsidRPr="001A57E3">
        <w:rPr>
          <w:lang w:val="en-GB"/>
        </w:rPr>
        <w:t xml:space="preserve"> 30 of the </w:t>
      </w:r>
      <w:r w:rsidR="00EF72E5" w:rsidRPr="001A57E3">
        <w:rPr>
          <w:lang w:val="en-GB"/>
        </w:rPr>
        <w:t>Guidelines</w:t>
      </w:r>
      <w:r w:rsidR="00484F09" w:rsidRPr="001A57E3">
        <w:rPr>
          <w:lang w:val="en-GB"/>
        </w:rPr>
        <w:t xml:space="preserve">, provided for in the </w:t>
      </w:r>
      <w:r w:rsidR="00EF72E5" w:rsidRPr="001A57E3">
        <w:rPr>
          <w:lang w:val="en-GB"/>
        </w:rPr>
        <w:t>Guidelines</w:t>
      </w:r>
      <w:r w:rsidR="00484F09" w:rsidRPr="001A57E3">
        <w:rPr>
          <w:lang w:val="en-GB"/>
        </w:rPr>
        <w:t xml:space="preserve"> of the monitoring indicators of the Operating Programme</w:t>
      </w:r>
      <w:r w:rsidR="00484F09" w:rsidRPr="001A57E3">
        <w:rPr>
          <w:i/>
          <w:lang w:val="en-GB"/>
        </w:rPr>
        <w:t>.</w:t>
      </w:r>
      <w:r w:rsidR="00484F09" w:rsidRPr="001A57E3">
        <w:rPr>
          <w:lang w:val="en-GB"/>
        </w:rPr>
        <w:t xml:space="preserve"> The </w:t>
      </w:r>
      <w:proofErr w:type="spellStart"/>
      <w:r w:rsidR="00EF72E5" w:rsidRPr="001A57E3">
        <w:rPr>
          <w:lang w:val="en-GB"/>
        </w:rPr>
        <w:t>Guidelines</w:t>
      </w:r>
      <w:r w:rsidR="00484F09" w:rsidRPr="001A57E3">
        <w:rPr>
          <w:lang w:val="en-GB"/>
        </w:rPr>
        <w:t>s</w:t>
      </w:r>
      <w:proofErr w:type="spellEnd"/>
      <w:r w:rsidR="00484F09" w:rsidRPr="001A57E3">
        <w:rPr>
          <w:lang w:val="en-GB"/>
        </w:rPr>
        <w:t xml:space="preserve"> of calculation of all monitoring indicators of the Operating Programme are published on the EU structural funds</w:t>
      </w:r>
      <w:r w:rsidR="00484F09" w:rsidRPr="001A57E3">
        <w:rPr>
          <w:cs/>
          <w:lang w:val="en-GB"/>
        </w:rPr>
        <w:t xml:space="preserve">’ </w:t>
      </w:r>
      <w:r w:rsidR="00484F09" w:rsidRPr="001A57E3">
        <w:rPr>
          <w:lang w:val="en-GB"/>
        </w:rPr>
        <w:t xml:space="preserve">website   </w:t>
      </w:r>
      <w:hyperlink r:id="rId16" w:history="1">
        <w:r w:rsidR="00484F09" w:rsidRPr="001A57E3">
          <w:rPr>
            <w:rStyle w:val="Hyperlink"/>
            <w:color w:val="000000"/>
            <w:lang w:val="en-GB"/>
          </w:rPr>
          <w:t>www.esinvesticijos.lt</w:t>
        </w:r>
      </w:hyperlink>
      <w:r w:rsidR="00545694" w:rsidRPr="001A57E3">
        <w:rPr>
          <w:lang w:val="en-GB"/>
        </w:rPr>
        <w:t>.</w:t>
      </w:r>
    </w:p>
    <w:p w:rsidR="00420065" w:rsidRPr="001A57E3" w:rsidRDefault="00545694">
      <w:pPr>
        <w:ind w:firstLine="709"/>
        <w:jc w:val="both"/>
        <w:rPr>
          <w:lang w:val="en-GB"/>
        </w:rPr>
      </w:pPr>
      <w:r w:rsidRPr="001A57E3">
        <w:rPr>
          <w:lang w:val="en-GB"/>
        </w:rPr>
        <w:t>3</w:t>
      </w:r>
      <w:r w:rsidR="007F138A" w:rsidRPr="001A57E3">
        <w:rPr>
          <w:lang w:val="en-GB"/>
        </w:rPr>
        <w:t>2</w:t>
      </w:r>
      <w:r w:rsidRPr="001A57E3">
        <w:rPr>
          <w:lang w:val="en-GB"/>
        </w:rPr>
        <w:t xml:space="preserve">. </w:t>
      </w:r>
      <w:r w:rsidR="00484F09" w:rsidRPr="001A57E3">
        <w:rPr>
          <w:lang w:val="en-GB"/>
        </w:rPr>
        <w:t>In case, having regard to the nature of the R&amp;D project it is not possible to achieve the Measure implementation monitoring indicator referred to in Sub-</w:t>
      </w:r>
      <w:r w:rsidR="00673D89" w:rsidRPr="001A57E3">
        <w:rPr>
          <w:lang w:val="en-GB"/>
        </w:rPr>
        <w:t>Article</w:t>
      </w:r>
      <w:r w:rsidR="00484F09" w:rsidRPr="001A57E3">
        <w:rPr>
          <w:lang w:val="en-GB"/>
        </w:rPr>
        <w:t xml:space="preserve"> 30.2, the project should seek at least one of the following targets, the attainment whereof shall be demonstrated by registration certificates or other supporting documents</w:t>
      </w:r>
      <w:r w:rsidRPr="001A57E3">
        <w:rPr>
          <w:lang w:val="en-GB"/>
        </w:rPr>
        <w:t>:</w:t>
      </w:r>
    </w:p>
    <w:p w:rsidR="00420065" w:rsidRPr="001A57E3" w:rsidRDefault="007F138A">
      <w:pPr>
        <w:ind w:firstLine="709"/>
        <w:jc w:val="both"/>
        <w:rPr>
          <w:lang w:val="en-GB"/>
        </w:rPr>
      </w:pPr>
      <w:r w:rsidRPr="001A57E3">
        <w:rPr>
          <w:lang w:val="en-GB"/>
        </w:rPr>
        <w:t>32</w:t>
      </w:r>
      <w:r w:rsidR="00545694" w:rsidRPr="001A57E3">
        <w:rPr>
          <w:lang w:val="en-GB"/>
        </w:rPr>
        <w:t xml:space="preserve">.1. </w:t>
      </w:r>
      <w:r w:rsidR="00484F09" w:rsidRPr="001A57E3">
        <w:rPr>
          <w:lang w:val="en-GB"/>
        </w:rPr>
        <w:t xml:space="preserve">A plant variety assessed at European specialised </w:t>
      </w:r>
      <w:r w:rsidR="007271D5" w:rsidRPr="001A57E3">
        <w:rPr>
          <w:lang w:val="en-GB"/>
        </w:rPr>
        <w:t>centres</w:t>
      </w:r>
      <w:r w:rsidR="00484F09" w:rsidRPr="001A57E3">
        <w:rPr>
          <w:lang w:val="en-GB"/>
        </w:rPr>
        <w:t xml:space="preserve"> (</w:t>
      </w:r>
      <w:r w:rsidR="00484F09" w:rsidRPr="001A57E3">
        <w:rPr>
          <w:i/>
          <w:lang w:val="en-GB"/>
        </w:rPr>
        <w:t>Reports on Technical Examination of the DUS Testing</w:t>
      </w:r>
      <w:r w:rsidR="00484F09" w:rsidRPr="001A57E3">
        <w:rPr>
          <w:lang w:val="en-GB"/>
        </w:rPr>
        <w:t xml:space="preserve"> required to be submitted</w:t>
      </w:r>
      <w:r w:rsidR="00545694" w:rsidRPr="001A57E3">
        <w:rPr>
          <w:lang w:val="en-GB"/>
        </w:rPr>
        <w:t>);</w:t>
      </w:r>
    </w:p>
    <w:p w:rsidR="00420065" w:rsidRPr="001A57E3" w:rsidRDefault="00545694">
      <w:pPr>
        <w:ind w:firstLine="709"/>
        <w:jc w:val="both"/>
        <w:rPr>
          <w:lang w:val="en-GB"/>
        </w:rPr>
      </w:pPr>
      <w:r w:rsidRPr="001A57E3">
        <w:rPr>
          <w:lang w:val="en-GB"/>
        </w:rPr>
        <w:t>3</w:t>
      </w:r>
      <w:r w:rsidR="007F138A" w:rsidRPr="001A57E3">
        <w:rPr>
          <w:lang w:val="en-GB"/>
        </w:rPr>
        <w:t>2</w:t>
      </w:r>
      <w:r w:rsidRPr="001A57E3">
        <w:rPr>
          <w:lang w:val="en-GB"/>
        </w:rPr>
        <w:t xml:space="preserve">.2. </w:t>
      </w:r>
      <w:r w:rsidR="00484F09" w:rsidRPr="001A57E3">
        <w:rPr>
          <w:lang w:val="en-GB"/>
        </w:rPr>
        <w:t>An animal breed registered in accordance with the procedure recogn</w:t>
      </w:r>
      <w:r w:rsidR="00123501" w:rsidRPr="001A57E3">
        <w:rPr>
          <w:lang w:val="en-GB"/>
        </w:rPr>
        <w:t>ise</w:t>
      </w:r>
      <w:r w:rsidR="00484F09" w:rsidRPr="001A57E3">
        <w:rPr>
          <w:lang w:val="en-GB"/>
        </w:rPr>
        <w:t>d on an international scale</w:t>
      </w:r>
      <w:r w:rsidRPr="001A57E3">
        <w:rPr>
          <w:lang w:val="en-GB"/>
        </w:rPr>
        <w:t>;</w:t>
      </w:r>
    </w:p>
    <w:p w:rsidR="00420065" w:rsidRPr="001A57E3" w:rsidRDefault="007F138A">
      <w:pPr>
        <w:ind w:firstLine="709"/>
        <w:jc w:val="both"/>
        <w:rPr>
          <w:lang w:val="en-GB"/>
        </w:rPr>
      </w:pPr>
      <w:r w:rsidRPr="001A57E3">
        <w:rPr>
          <w:lang w:val="en-GB"/>
        </w:rPr>
        <w:t>32</w:t>
      </w:r>
      <w:r w:rsidR="00545694" w:rsidRPr="001A57E3">
        <w:rPr>
          <w:lang w:val="en-GB"/>
        </w:rPr>
        <w:t xml:space="preserve">.3. </w:t>
      </w:r>
      <w:r w:rsidR="00484F09" w:rsidRPr="001A57E3">
        <w:rPr>
          <w:lang w:val="en-GB"/>
        </w:rPr>
        <w:t>A new technology supported by an installation act, or has been tested in production</w:t>
      </w:r>
      <w:r w:rsidR="00545694" w:rsidRPr="001A57E3">
        <w:rPr>
          <w:lang w:val="en-GB"/>
        </w:rPr>
        <w:t>;</w:t>
      </w:r>
    </w:p>
    <w:p w:rsidR="00420065" w:rsidRPr="001A57E3" w:rsidRDefault="007F138A">
      <w:pPr>
        <w:ind w:firstLine="709"/>
        <w:jc w:val="both"/>
        <w:rPr>
          <w:lang w:val="en-GB"/>
        </w:rPr>
      </w:pPr>
      <w:r w:rsidRPr="001A57E3">
        <w:rPr>
          <w:lang w:val="en-GB"/>
        </w:rPr>
        <w:t>32</w:t>
      </w:r>
      <w:r w:rsidR="00545694" w:rsidRPr="001A57E3">
        <w:rPr>
          <w:lang w:val="en-GB"/>
        </w:rPr>
        <w:t xml:space="preserve">.4. </w:t>
      </w:r>
      <w:r w:rsidR="00484F09" w:rsidRPr="001A57E3">
        <w:rPr>
          <w:lang w:val="en-GB"/>
        </w:rPr>
        <w:t>A species or a microorganism strain registered outside Lithuania</w:t>
      </w:r>
      <w:r w:rsidR="00545694" w:rsidRPr="001A57E3">
        <w:rPr>
          <w:lang w:val="en-GB"/>
        </w:rPr>
        <w:t>;</w:t>
      </w:r>
    </w:p>
    <w:p w:rsidR="00420065" w:rsidRPr="001A57E3" w:rsidRDefault="007F138A">
      <w:pPr>
        <w:ind w:firstLine="709"/>
        <w:jc w:val="both"/>
        <w:rPr>
          <w:lang w:val="en-GB"/>
        </w:rPr>
      </w:pPr>
      <w:r w:rsidRPr="001A57E3">
        <w:rPr>
          <w:lang w:val="en-GB"/>
        </w:rPr>
        <w:t>32</w:t>
      </w:r>
      <w:r w:rsidR="00545694" w:rsidRPr="001A57E3">
        <w:rPr>
          <w:lang w:val="en-GB"/>
        </w:rPr>
        <w:t xml:space="preserve">.5. </w:t>
      </w:r>
      <w:r w:rsidR="00484F09" w:rsidRPr="001A57E3">
        <w:rPr>
          <w:lang w:val="en-GB"/>
        </w:rPr>
        <w:t>An open new digital resource obtained in the course of research, a database or the open source software suitable to be used for R&amp;D</w:t>
      </w:r>
      <w:r w:rsidR="00545694" w:rsidRPr="001A57E3">
        <w:rPr>
          <w:lang w:val="en-GB"/>
        </w:rPr>
        <w:t>;</w:t>
      </w:r>
    </w:p>
    <w:p w:rsidR="00420065" w:rsidRPr="001A57E3" w:rsidRDefault="007F138A">
      <w:pPr>
        <w:ind w:firstLine="709"/>
        <w:jc w:val="both"/>
        <w:rPr>
          <w:lang w:val="en-GB"/>
        </w:rPr>
      </w:pPr>
      <w:r w:rsidRPr="001A57E3">
        <w:rPr>
          <w:lang w:val="en-GB"/>
        </w:rPr>
        <w:t>32</w:t>
      </w:r>
      <w:r w:rsidR="00545694" w:rsidRPr="001A57E3">
        <w:rPr>
          <w:lang w:val="en-GB"/>
        </w:rPr>
        <w:t xml:space="preserve">.6. </w:t>
      </w:r>
      <w:r w:rsidR="0012299D" w:rsidRPr="001A57E3">
        <w:rPr>
          <w:lang w:val="en-GB"/>
        </w:rPr>
        <w:t>another product of R&amp;D activity (a process, a system, a service, a method, an object of art or a solution of cultural and societal problems, based on research and practical experience)</w:t>
      </w:r>
      <w:r w:rsidR="00545694" w:rsidRPr="001A57E3">
        <w:rPr>
          <w:lang w:val="en-GB"/>
        </w:rPr>
        <w:t>.</w:t>
      </w:r>
    </w:p>
    <w:p w:rsidR="00420065" w:rsidRPr="001A57E3" w:rsidRDefault="007F138A">
      <w:pPr>
        <w:ind w:firstLine="709"/>
        <w:jc w:val="both"/>
        <w:rPr>
          <w:i/>
          <w:lang w:val="en-GB"/>
        </w:rPr>
      </w:pPr>
      <w:r w:rsidRPr="001A57E3">
        <w:rPr>
          <w:lang w:val="en-GB"/>
        </w:rPr>
        <w:t>3</w:t>
      </w:r>
      <w:r w:rsidR="00D45921" w:rsidRPr="001A57E3">
        <w:rPr>
          <w:lang w:val="en-GB"/>
        </w:rPr>
        <w:t>3</w:t>
      </w:r>
      <w:r w:rsidR="00545694" w:rsidRPr="001A57E3">
        <w:rPr>
          <w:lang w:val="en-GB"/>
        </w:rPr>
        <w:t xml:space="preserve">. </w:t>
      </w:r>
      <w:r w:rsidR="0012299D" w:rsidRPr="001A57E3">
        <w:rPr>
          <w:lang w:val="en-GB"/>
        </w:rPr>
        <w:t>There shall be no restrictions of the project that could have an adverse effect on the implementation of the principles of gender equality, non-discrimination based on gender, race, nationality, language, origin, social standing, beliefs and views, disability, sexual orientation, ethnicity or religion</w:t>
      </w:r>
      <w:r w:rsidR="00545694" w:rsidRPr="001A57E3">
        <w:rPr>
          <w:lang w:val="en-GB"/>
        </w:rPr>
        <w:t>.</w:t>
      </w:r>
    </w:p>
    <w:p w:rsidR="00420065" w:rsidRPr="001A57E3" w:rsidRDefault="00545694">
      <w:pPr>
        <w:ind w:firstLine="709"/>
        <w:jc w:val="both"/>
        <w:rPr>
          <w:i/>
          <w:lang w:val="en-GB"/>
        </w:rPr>
      </w:pPr>
      <w:r w:rsidRPr="001A57E3">
        <w:rPr>
          <w:lang w:val="en-GB"/>
        </w:rPr>
        <w:t>3</w:t>
      </w:r>
      <w:r w:rsidR="00D45921" w:rsidRPr="001A57E3">
        <w:rPr>
          <w:lang w:val="en-GB"/>
        </w:rPr>
        <w:t>4</w:t>
      </w:r>
      <w:r w:rsidRPr="001A57E3">
        <w:rPr>
          <w:lang w:val="en-GB"/>
        </w:rPr>
        <w:t xml:space="preserve">. </w:t>
      </w:r>
      <w:r w:rsidR="0012299D" w:rsidRPr="001A57E3">
        <w:rPr>
          <w:lang w:val="en-GB"/>
        </w:rPr>
        <w:t>There shall be no project actions that could adversely affect the implementation of the sustainable development principle</w:t>
      </w:r>
      <w:r w:rsidRPr="001A57E3">
        <w:rPr>
          <w:lang w:val="en-GB"/>
        </w:rPr>
        <w:t xml:space="preserve">. </w:t>
      </w:r>
    </w:p>
    <w:p w:rsidR="00420065" w:rsidRPr="001A57E3" w:rsidRDefault="007F138A">
      <w:pPr>
        <w:ind w:firstLine="709"/>
        <w:jc w:val="both"/>
        <w:rPr>
          <w:lang w:val="en-GB"/>
        </w:rPr>
      </w:pPr>
      <w:r w:rsidRPr="001A57E3">
        <w:rPr>
          <w:lang w:val="en-GB"/>
        </w:rPr>
        <w:t>3</w:t>
      </w:r>
      <w:r w:rsidR="00D45921" w:rsidRPr="001A57E3">
        <w:rPr>
          <w:lang w:val="en-GB"/>
        </w:rPr>
        <w:t>5</w:t>
      </w:r>
      <w:r w:rsidR="00545694" w:rsidRPr="001A57E3">
        <w:rPr>
          <w:lang w:val="en-GB"/>
        </w:rPr>
        <w:t xml:space="preserve">. </w:t>
      </w:r>
      <w:r w:rsidR="0012299D" w:rsidRPr="001A57E3">
        <w:rPr>
          <w:lang w:val="en-GB"/>
        </w:rPr>
        <w:t xml:space="preserve">In case the Applicant is implementing the project with a partner that is a private legal entity and/or economic activity will be carried out in pursuit of the project results (as defined in Communication No. 2014/C198/01), State aid may be provided according to the present </w:t>
      </w:r>
      <w:r w:rsidR="00EF72E5" w:rsidRPr="001A57E3">
        <w:rPr>
          <w:lang w:val="en-GB"/>
        </w:rPr>
        <w:t>Guidelines</w:t>
      </w:r>
      <w:r w:rsidR="0012299D" w:rsidRPr="001A57E3">
        <w:rPr>
          <w:lang w:val="en-GB"/>
        </w:rPr>
        <w:t xml:space="preserve"> within the meaning of Article 107 of the Treaty on the Functioning of the European Union (OJ 2010 C 83, p. 47). Any funding allocated as State aid for projects is investment aid granted according to Article 25 of Regulation (EU) No. 651/2014, subject to the restrictions provided in Section I and Articles 1(2) to (5). The </w:t>
      </w:r>
      <w:r w:rsidR="00EF72E5" w:rsidRPr="001A57E3">
        <w:rPr>
          <w:lang w:val="en-GB"/>
        </w:rPr>
        <w:t>Guidelines</w:t>
      </w:r>
      <w:r w:rsidR="0012299D" w:rsidRPr="001A57E3">
        <w:rPr>
          <w:lang w:val="en-GB"/>
        </w:rPr>
        <w:t xml:space="preserve"> determines the conditions for the provision of State aid to research and development, which are compliant with the provisions of Article (EU) No 651/2014 and are compatible with the internal market. The compliance of the State aid of the project with the provisions of Article 25 of Regulation (EU) No 651/2014 shall be assessed by the Implementing authority according to the assessment criteria specified in Annex 3 to the </w:t>
      </w:r>
      <w:r w:rsidR="00EF72E5" w:rsidRPr="001A57E3">
        <w:rPr>
          <w:lang w:val="en-GB"/>
        </w:rPr>
        <w:t>Guidelines</w:t>
      </w:r>
      <w:r w:rsidR="00545694" w:rsidRPr="001A57E3">
        <w:rPr>
          <w:lang w:val="en-GB"/>
        </w:rPr>
        <w:t>.</w:t>
      </w:r>
    </w:p>
    <w:p w:rsidR="00420065" w:rsidRPr="001A57E3" w:rsidRDefault="00E32BFD">
      <w:pPr>
        <w:ind w:firstLine="709"/>
        <w:jc w:val="both"/>
        <w:rPr>
          <w:lang w:val="en-GB"/>
        </w:rPr>
      </w:pPr>
      <w:r w:rsidRPr="001A57E3">
        <w:rPr>
          <w:lang w:val="en-GB"/>
        </w:rPr>
        <w:t>3</w:t>
      </w:r>
      <w:r w:rsidR="00D45921" w:rsidRPr="001A57E3">
        <w:rPr>
          <w:lang w:val="en-GB"/>
        </w:rPr>
        <w:t>6</w:t>
      </w:r>
      <w:r w:rsidR="00545694" w:rsidRPr="001A57E3">
        <w:rPr>
          <w:lang w:val="en-GB"/>
        </w:rPr>
        <w:t xml:space="preserve">. </w:t>
      </w:r>
      <w:r w:rsidR="0012299D" w:rsidRPr="001A57E3">
        <w:rPr>
          <w:lang w:val="en-GB"/>
        </w:rPr>
        <w:t xml:space="preserve">The Applicant (beneficiary) is not considered a beneficiary of State aid, if the Applicant participates in the project by carrying out non-economic activities as defined in </w:t>
      </w:r>
      <w:r w:rsidR="00673D89" w:rsidRPr="001A57E3">
        <w:rPr>
          <w:lang w:val="en-GB"/>
        </w:rPr>
        <w:t>Article</w:t>
      </w:r>
      <w:r w:rsidR="0012299D" w:rsidRPr="001A57E3">
        <w:rPr>
          <w:lang w:val="en-GB"/>
        </w:rPr>
        <w:t xml:space="preserve"> 19 of the Communication</w:t>
      </w:r>
      <w:r w:rsidR="00545694" w:rsidRPr="001A57E3">
        <w:rPr>
          <w:lang w:val="en-GB"/>
        </w:rPr>
        <w:t>.</w:t>
      </w:r>
    </w:p>
    <w:p w:rsidR="00420065" w:rsidRPr="001A57E3" w:rsidRDefault="007F138A" w:rsidP="00EB19D0">
      <w:pPr>
        <w:ind w:firstLine="709"/>
        <w:jc w:val="both"/>
        <w:rPr>
          <w:lang w:val="en-GB"/>
        </w:rPr>
      </w:pPr>
      <w:r w:rsidRPr="001A57E3">
        <w:rPr>
          <w:lang w:val="en-GB"/>
        </w:rPr>
        <w:t>3</w:t>
      </w:r>
      <w:r w:rsidR="00D45921" w:rsidRPr="001A57E3">
        <w:rPr>
          <w:lang w:val="en-GB"/>
        </w:rPr>
        <w:t>7</w:t>
      </w:r>
      <w:r w:rsidR="00545694" w:rsidRPr="001A57E3">
        <w:rPr>
          <w:lang w:val="en-GB"/>
        </w:rPr>
        <w:t xml:space="preserve">. </w:t>
      </w:r>
      <w:r w:rsidR="0012299D" w:rsidRPr="001A57E3">
        <w:rPr>
          <w:lang w:val="en-GB"/>
        </w:rPr>
        <w:t xml:space="preserve">The data on the granted State aid shall be provided to the </w:t>
      </w:r>
      <w:r w:rsidR="0012299D" w:rsidRPr="001A57E3">
        <w:rPr>
          <w:i/>
          <w:lang w:val="en-GB"/>
        </w:rPr>
        <w:t xml:space="preserve">Register of granted State aid and de </w:t>
      </w:r>
      <w:proofErr w:type="spellStart"/>
      <w:r w:rsidR="0012299D" w:rsidRPr="001A57E3">
        <w:rPr>
          <w:i/>
          <w:lang w:val="en-GB"/>
        </w:rPr>
        <w:t>minimis</w:t>
      </w:r>
      <w:proofErr w:type="spellEnd"/>
      <w:r w:rsidR="0012299D" w:rsidRPr="001A57E3">
        <w:rPr>
          <w:i/>
          <w:lang w:val="en-GB"/>
        </w:rPr>
        <w:t xml:space="preserve"> aid</w:t>
      </w:r>
      <w:r w:rsidR="0012299D" w:rsidRPr="001A57E3">
        <w:rPr>
          <w:lang w:val="en-GB"/>
        </w:rPr>
        <w:t xml:space="preserve"> in the procedure set forth in the </w:t>
      </w:r>
      <w:r w:rsidR="0012299D" w:rsidRPr="001A57E3">
        <w:rPr>
          <w:i/>
          <w:lang w:val="en-GB"/>
        </w:rPr>
        <w:t xml:space="preserve">Regulations of the Register of granted State aid and de </w:t>
      </w:r>
      <w:proofErr w:type="spellStart"/>
      <w:r w:rsidR="0012299D" w:rsidRPr="001A57E3">
        <w:rPr>
          <w:i/>
          <w:lang w:val="en-GB"/>
        </w:rPr>
        <w:t>minimis</w:t>
      </w:r>
      <w:proofErr w:type="spellEnd"/>
      <w:r w:rsidR="0012299D" w:rsidRPr="001A57E3">
        <w:rPr>
          <w:i/>
          <w:lang w:val="en-GB"/>
        </w:rPr>
        <w:t xml:space="preserve"> aid</w:t>
      </w:r>
      <w:r w:rsidR="0012299D" w:rsidRPr="001A57E3">
        <w:rPr>
          <w:lang w:val="en-GB"/>
        </w:rPr>
        <w:t xml:space="preserve"> approved by Resolution No. 35 of the Government of the Republic of Lithuania on 19 January 2005 (version of Resolution No. 592 of the Government of the Republic of Lithuania on 09 June 2015)</w:t>
      </w:r>
      <w:r w:rsidR="00545694" w:rsidRPr="001A57E3">
        <w:rPr>
          <w:lang w:val="en-GB"/>
        </w:rPr>
        <w:t>.</w:t>
      </w:r>
      <w:r w:rsidR="006147C6" w:rsidRPr="001A57E3">
        <w:rPr>
          <w:lang w:val="en-GB"/>
        </w:rPr>
        <w:t xml:space="preserve"> </w:t>
      </w:r>
      <w:r w:rsidR="0012299D" w:rsidRPr="001A57E3">
        <w:rPr>
          <w:lang w:val="en-GB"/>
        </w:rPr>
        <w:t xml:space="preserve">The provision of data on State aid granted is also governed by the </w:t>
      </w:r>
      <w:r w:rsidR="0012299D" w:rsidRPr="001A57E3">
        <w:rPr>
          <w:i/>
          <w:lang w:val="en-GB"/>
        </w:rPr>
        <w:t xml:space="preserve">Regulations on the Processing of State aid and de </w:t>
      </w:r>
      <w:proofErr w:type="spellStart"/>
      <w:r w:rsidR="0012299D" w:rsidRPr="001A57E3">
        <w:rPr>
          <w:i/>
          <w:lang w:val="en-GB"/>
        </w:rPr>
        <w:t>minimis</w:t>
      </w:r>
      <w:proofErr w:type="spellEnd"/>
      <w:r w:rsidR="0012299D" w:rsidRPr="001A57E3">
        <w:rPr>
          <w:i/>
          <w:lang w:val="en-GB"/>
        </w:rPr>
        <w:t xml:space="preserve"> aid data</w:t>
      </w:r>
      <w:r w:rsidR="0012299D" w:rsidRPr="001A57E3">
        <w:rPr>
          <w:lang w:val="en-GB"/>
        </w:rPr>
        <w:t xml:space="preserve">, approved by the Competition Council of the Republic of Lithuania in by Resolution No. 1S-120/2015 of 13 November 2015 ‘On the approval of the Regulations on the Processing of State aid and de </w:t>
      </w:r>
      <w:proofErr w:type="spellStart"/>
      <w:r w:rsidR="0012299D" w:rsidRPr="001A57E3">
        <w:rPr>
          <w:lang w:val="en-GB"/>
        </w:rPr>
        <w:t>minimis</w:t>
      </w:r>
      <w:proofErr w:type="spellEnd"/>
      <w:r w:rsidR="0012299D" w:rsidRPr="001A57E3">
        <w:rPr>
          <w:lang w:val="en-GB"/>
        </w:rPr>
        <w:t xml:space="preserve"> aid data’, which lays down the procedures for submitting information on State aid</w:t>
      </w:r>
      <w:r w:rsidR="00EB19D0" w:rsidRPr="001A57E3">
        <w:rPr>
          <w:lang w:val="en-GB"/>
        </w:rPr>
        <w:t xml:space="preserve"> granted to foreign entities</w:t>
      </w:r>
      <w:r w:rsidR="006147C6" w:rsidRPr="001A57E3">
        <w:rPr>
          <w:lang w:val="en-GB"/>
        </w:rPr>
        <w:t>.</w:t>
      </w:r>
    </w:p>
    <w:p w:rsidR="00420065" w:rsidRPr="001A57E3" w:rsidRDefault="007F138A">
      <w:pPr>
        <w:ind w:firstLine="709"/>
        <w:jc w:val="both"/>
        <w:rPr>
          <w:lang w:val="en-GB"/>
        </w:rPr>
      </w:pPr>
      <w:r w:rsidRPr="001A57E3">
        <w:rPr>
          <w:lang w:val="en-GB"/>
        </w:rPr>
        <w:t>3</w:t>
      </w:r>
      <w:r w:rsidR="00D45921" w:rsidRPr="001A57E3">
        <w:rPr>
          <w:lang w:val="en-GB"/>
        </w:rPr>
        <w:t>8</w:t>
      </w:r>
      <w:r w:rsidR="00545694" w:rsidRPr="001A57E3">
        <w:rPr>
          <w:lang w:val="en-GB"/>
        </w:rPr>
        <w:t>.</w:t>
      </w:r>
      <w:r w:rsidR="00545694" w:rsidRPr="001A57E3">
        <w:rPr>
          <w:lang w:val="en-GB" w:eastAsia="lt-LT"/>
        </w:rPr>
        <w:t xml:space="preserve"> </w:t>
      </w:r>
      <w:r w:rsidR="00EB19D0" w:rsidRPr="001A57E3">
        <w:rPr>
          <w:lang w:val="en-GB"/>
        </w:rPr>
        <w:t xml:space="preserve">A project may not have been or be funded from the budget of the State of the Republic of Lithuania and/or municipalities budgets, other monetary resources at the disposal of the State and/or municipalities, EU structural funds or other measures of the EU financial </w:t>
      </w:r>
      <w:r w:rsidR="009F375C" w:rsidRPr="001A57E3">
        <w:rPr>
          <w:lang w:val="en-GB"/>
        </w:rPr>
        <w:t>investment</w:t>
      </w:r>
      <w:r w:rsidR="00EB19D0" w:rsidRPr="001A57E3">
        <w:rPr>
          <w:lang w:val="en-GB"/>
        </w:rPr>
        <w:t xml:space="preserve"> or other international support, and where granted EU structural funds, such measures would be recogn</w:t>
      </w:r>
      <w:r w:rsidR="00123501" w:rsidRPr="001A57E3">
        <w:rPr>
          <w:lang w:val="en-GB"/>
        </w:rPr>
        <w:t>ise</w:t>
      </w:r>
      <w:r w:rsidR="00EB19D0" w:rsidRPr="001A57E3">
        <w:rPr>
          <w:lang w:val="en-GB"/>
        </w:rPr>
        <w:t>d eligible for funding and/or paid on more than a single occasion</w:t>
      </w:r>
      <w:r w:rsidR="00545694" w:rsidRPr="001A57E3">
        <w:rPr>
          <w:lang w:val="en-GB"/>
        </w:rPr>
        <w:t>.</w:t>
      </w:r>
    </w:p>
    <w:p w:rsidR="00420065" w:rsidRPr="001A57E3" w:rsidRDefault="00D45921">
      <w:pPr>
        <w:ind w:firstLine="709"/>
        <w:jc w:val="both"/>
        <w:rPr>
          <w:lang w:val="en-GB"/>
        </w:rPr>
      </w:pPr>
      <w:r w:rsidRPr="001A57E3">
        <w:rPr>
          <w:lang w:val="en-GB"/>
        </w:rPr>
        <w:t>39</w:t>
      </w:r>
      <w:r w:rsidR="00545694" w:rsidRPr="001A57E3">
        <w:rPr>
          <w:lang w:val="en-GB"/>
        </w:rPr>
        <w:t xml:space="preserve">. </w:t>
      </w:r>
      <w:r w:rsidR="00EB19D0" w:rsidRPr="001A57E3">
        <w:rPr>
          <w:lang w:val="en-GB"/>
        </w:rPr>
        <w:t xml:space="preserve">The physical performance indicators planned for the purpose of the project shall comply with the indicators specified in Section VI of Chapter I of the Measure Implementation Plan, the thematic specificity of the priority of the action plans specified in </w:t>
      </w:r>
      <w:r w:rsidR="00673D89" w:rsidRPr="001A57E3">
        <w:rPr>
          <w:lang w:val="en-GB"/>
        </w:rPr>
        <w:t>Article</w:t>
      </w:r>
      <w:r w:rsidR="00EB19D0" w:rsidRPr="001A57E3">
        <w:rPr>
          <w:lang w:val="en-GB"/>
        </w:rPr>
        <w:t xml:space="preserve"> 22.1 of the </w:t>
      </w:r>
      <w:r w:rsidR="00EF72E5" w:rsidRPr="001A57E3">
        <w:rPr>
          <w:lang w:val="en-GB"/>
        </w:rPr>
        <w:t>Guidelines</w:t>
      </w:r>
      <w:r w:rsidR="00EB19D0" w:rsidRPr="001A57E3">
        <w:rPr>
          <w:lang w:val="en-GB"/>
        </w:rPr>
        <w:t xml:space="preserve"> and the possible scientific production (though no limited to it), specified in the Model lists of eligible research and/or technological production of research and dissemination projects</w:t>
      </w:r>
      <w:r w:rsidR="00545694" w:rsidRPr="001A57E3">
        <w:rPr>
          <w:lang w:val="en-GB"/>
        </w:rPr>
        <w:t>.</w:t>
      </w:r>
    </w:p>
    <w:p w:rsidR="00420065" w:rsidRPr="001A57E3" w:rsidRDefault="00C60AB9">
      <w:pPr>
        <w:ind w:firstLine="709"/>
        <w:jc w:val="both"/>
        <w:rPr>
          <w:lang w:val="en-GB" w:eastAsia="lt-LT"/>
        </w:rPr>
      </w:pPr>
      <w:r w:rsidRPr="001A57E3">
        <w:rPr>
          <w:lang w:val="en-GB"/>
        </w:rPr>
        <w:t>4</w:t>
      </w:r>
      <w:r w:rsidR="00D45921" w:rsidRPr="001A57E3">
        <w:rPr>
          <w:lang w:val="en-GB"/>
        </w:rPr>
        <w:t>0</w:t>
      </w:r>
      <w:r w:rsidR="00545694" w:rsidRPr="001A57E3">
        <w:rPr>
          <w:lang w:val="en-GB"/>
        </w:rPr>
        <w:t xml:space="preserve">. </w:t>
      </w:r>
      <w:r w:rsidR="00EB19D0" w:rsidRPr="001A57E3">
        <w:rPr>
          <w:lang w:val="en-GB"/>
        </w:rPr>
        <w:t xml:space="preserve">The project is not subject to continuity of investment and post funding reporting requirements. </w:t>
      </w:r>
      <w:proofErr w:type="gramStart"/>
      <w:r w:rsidR="00EB19D0" w:rsidRPr="001A57E3">
        <w:rPr>
          <w:lang w:val="en-GB"/>
        </w:rPr>
        <w:t>In case the project benefits from State aid, the investment continuity shall be ensured within the period specified in the State aid regulations in the procedure set forth in Section 27 of the Project Regulations</w:t>
      </w:r>
      <w:r w:rsidR="00545694" w:rsidRPr="001A57E3">
        <w:rPr>
          <w:lang w:val="en-GB"/>
        </w:rPr>
        <w:t>.</w:t>
      </w:r>
      <w:proofErr w:type="gramEnd"/>
    </w:p>
    <w:p w:rsidR="00420065" w:rsidRPr="001A57E3" w:rsidRDefault="00420065">
      <w:pPr>
        <w:rPr>
          <w:lang w:val="en-GB" w:eastAsia="lt-LT"/>
        </w:rPr>
      </w:pPr>
    </w:p>
    <w:p w:rsidR="00420065" w:rsidRPr="001A57E3" w:rsidRDefault="00EB19D0">
      <w:pPr>
        <w:keepNext/>
        <w:jc w:val="center"/>
        <w:rPr>
          <w:b/>
          <w:szCs w:val="24"/>
          <w:lang w:val="en-GB" w:eastAsia="lt-LT"/>
        </w:rPr>
      </w:pPr>
      <w:r w:rsidRPr="001A57E3">
        <w:rPr>
          <w:b/>
          <w:lang w:val="en-GB"/>
        </w:rPr>
        <w:t>CHAPTER IV</w:t>
      </w:r>
    </w:p>
    <w:p w:rsidR="00420065" w:rsidRPr="001A57E3" w:rsidRDefault="00EB19D0">
      <w:pPr>
        <w:keepNext/>
        <w:ind w:firstLine="62"/>
        <w:jc w:val="center"/>
        <w:rPr>
          <w:b/>
          <w:szCs w:val="24"/>
          <w:lang w:val="en-GB" w:eastAsia="lt-LT"/>
        </w:rPr>
      </w:pPr>
      <w:r w:rsidRPr="001A57E3">
        <w:rPr>
          <w:b/>
          <w:lang w:val="en-GB"/>
        </w:rPr>
        <w:t>REQUIREMENTS FOR ELIGIBLE PROJECT EXPENSES AND FINANCING</w:t>
      </w:r>
    </w:p>
    <w:p w:rsidR="00420065" w:rsidRPr="001A57E3" w:rsidRDefault="00420065">
      <w:pPr>
        <w:keepNext/>
        <w:rPr>
          <w:lang w:val="en-GB" w:eastAsia="lt-LT"/>
        </w:rPr>
      </w:pPr>
    </w:p>
    <w:p w:rsidR="00420065" w:rsidRPr="001A57E3" w:rsidRDefault="008F3A0A">
      <w:pPr>
        <w:ind w:firstLine="709"/>
        <w:jc w:val="both"/>
        <w:rPr>
          <w:lang w:val="en-GB" w:eastAsia="lt-LT"/>
        </w:rPr>
      </w:pPr>
      <w:r w:rsidRPr="001A57E3">
        <w:rPr>
          <w:lang w:val="en-GB" w:eastAsia="lt-LT"/>
        </w:rPr>
        <w:t>4</w:t>
      </w:r>
      <w:r w:rsidR="00D45921" w:rsidRPr="001A57E3">
        <w:rPr>
          <w:lang w:val="en-GB" w:eastAsia="lt-LT"/>
        </w:rPr>
        <w:t>1</w:t>
      </w:r>
      <w:r w:rsidR="00545694" w:rsidRPr="001A57E3">
        <w:rPr>
          <w:lang w:val="en-GB" w:eastAsia="lt-LT"/>
        </w:rPr>
        <w:t xml:space="preserve">. </w:t>
      </w:r>
      <w:r w:rsidR="00EB19D0" w:rsidRPr="001A57E3">
        <w:rPr>
          <w:lang w:val="en-GB"/>
        </w:rPr>
        <w:t>The expenses incurred within the projects shall comply with the requirements for project expenses defined in Chapter VI of the Project Regulations and the Recommendations regarding the compliance of project expenses with the requirements of structural funds of the European Union</w:t>
      </w:r>
      <w:r w:rsidR="00545694" w:rsidRPr="001A57E3">
        <w:rPr>
          <w:lang w:val="en-GB" w:eastAsia="lt-LT"/>
        </w:rPr>
        <w:t>.</w:t>
      </w:r>
    </w:p>
    <w:p w:rsidR="00420065" w:rsidRPr="001A57E3" w:rsidRDefault="00545694">
      <w:pPr>
        <w:ind w:firstLine="709"/>
        <w:jc w:val="both"/>
        <w:rPr>
          <w:lang w:val="en-GB" w:eastAsia="lt-LT"/>
        </w:rPr>
      </w:pPr>
      <w:r w:rsidRPr="001A57E3">
        <w:rPr>
          <w:lang w:val="en-GB" w:eastAsia="lt-LT"/>
        </w:rPr>
        <w:t>4</w:t>
      </w:r>
      <w:r w:rsidR="00D45921" w:rsidRPr="001A57E3">
        <w:rPr>
          <w:lang w:val="en-GB" w:eastAsia="lt-LT"/>
        </w:rPr>
        <w:t>2</w:t>
      </w:r>
      <w:r w:rsidRPr="001A57E3">
        <w:rPr>
          <w:lang w:val="en-GB" w:eastAsia="lt-LT"/>
        </w:rPr>
        <w:t xml:space="preserve">. </w:t>
      </w:r>
      <w:r w:rsidR="00EB19D0" w:rsidRPr="001A57E3">
        <w:rPr>
          <w:lang w:val="en-GB"/>
        </w:rPr>
        <w:t>The maximum amount to be allocated to fund a project is EUR 1,000,000 (one million euros)</w:t>
      </w:r>
      <w:r w:rsidRPr="001A57E3">
        <w:rPr>
          <w:lang w:val="en-GB" w:eastAsia="lt-LT"/>
        </w:rPr>
        <w:t>.</w:t>
      </w:r>
    </w:p>
    <w:p w:rsidR="00420065" w:rsidRPr="001A57E3" w:rsidRDefault="008F3A0A">
      <w:pPr>
        <w:ind w:firstLine="709"/>
        <w:jc w:val="both"/>
        <w:rPr>
          <w:lang w:val="en-GB" w:eastAsia="lt-LT"/>
        </w:rPr>
      </w:pPr>
      <w:r w:rsidRPr="001A57E3">
        <w:rPr>
          <w:lang w:val="en-GB" w:eastAsia="lt-LT"/>
        </w:rPr>
        <w:t>4</w:t>
      </w:r>
      <w:r w:rsidR="00D45921" w:rsidRPr="001A57E3">
        <w:rPr>
          <w:lang w:val="en-GB" w:eastAsia="lt-LT"/>
        </w:rPr>
        <w:t>3</w:t>
      </w:r>
      <w:r w:rsidR="00545694" w:rsidRPr="001A57E3">
        <w:rPr>
          <w:lang w:val="en-GB" w:eastAsia="lt-LT"/>
        </w:rPr>
        <w:t xml:space="preserve">. </w:t>
      </w:r>
      <w:r w:rsidR="00A44638" w:rsidRPr="001A57E3">
        <w:rPr>
          <w:lang w:val="en-GB"/>
        </w:rPr>
        <w:t>The maximum share of the project eligible for funding is equal to 100 % of the total eligible expenses of the project</w:t>
      </w:r>
      <w:r w:rsidR="00545694" w:rsidRPr="001A57E3">
        <w:rPr>
          <w:i/>
          <w:lang w:val="en-GB" w:eastAsia="lt-LT"/>
        </w:rPr>
        <w:t>.</w:t>
      </w:r>
    </w:p>
    <w:p w:rsidR="00420065" w:rsidRPr="001A57E3" w:rsidRDefault="008F3A0A">
      <w:pPr>
        <w:ind w:firstLine="709"/>
        <w:jc w:val="both"/>
        <w:rPr>
          <w:lang w:val="en-GB" w:eastAsia="lt-LT"/>
        </w:rPr>
      </w:pPr>
      <w:r w:rsidRPr="001A57E3">
        <w:rPr>
          <w:lang w:val="en-GB" w:eastAsia="lt-LT"/>
        </w:rPr>
        <w:t>4</w:t>
      </w:r>
      <w:r w:rsidR="00D45921" w:rsidRPr="001A57E3">
        <w:rPr>
          <w:lang w:val="en-GB" w:eastAsia="lt-LT"/>
        </w:rPr>
        <w:t>4</w:t>
      </w:r>
      <w:r w:rsidR="00545694" w:rsidRPr="001A57E3">
        <w:rPr>
          <w:lang w:val="en-GB" w:eastAsia="lt-LT"/>
        </w:rPr>
        <w:t xml:space="preserve">. </w:t>
      </w:r>
      <w:r w:rsidR="00A44638" w:rsidRPr="001A57E3">
        <w:rPr>
          <w:lang w:val="en-GB"/>
        </w:rPr>
        <w:t xml:space="preserve">In case the project is implemented in cooperation with a partner that is a private legal entity, and/or the project outcomes are intended for carrying out economic activity (as defined in Communication No. 2014/C198/01), the largest possible </w:t>
      </w:r>
      <w:r w:rsidR="00494546" w:rsidRPr="001A57E3">
        <w:rPr>
          <w:lang w:val="en-GB"/>
        </w:rPr>
        <w:t>financed</w:t>
      </w:r>
      <w:r w:rsidR="00A44638" w:rsidRPr="001A57E3">
        <w:rPr>
          <w:lang w:val="en-GB"/>
        </w:rPr>
        <w:t xml:space="preserve"> part of the project in indicated in Table 1 of the </w:t>
      </w:r>
      <w:r w:rsidR="00EF72E5" w:rsidRPr="001A57E3">
        <w:rPr>
          <w:lang w:val="en-GB"/>
        </w:rPr>
        <w:t>Guidelines</w:t>
      </w:r>
      <w:r w:rsidR="00545694" w:rsidRPr="001A57E3">
        <w:rPr>
          <w:lang w:val="en-GB" w:eastAsia="lt-LT"/>
        </w:rPr>
        <w:t>.</w:t>
      </w:r>
    </w:p>
    <w:p w:rsidR="00420065" w:rsidRPr="001A57E3" w:rsidRDefault="00420065">
      <w:pPr>
        <w:ind w:firstLine="709"/>
        <w:jc w:val="both"/>
        <w:rPr>
          <w:lang w:val="en-GB" w:eastAsia="lt-LT"/>
        </w:rPr>
      </w:pPr>
    </w:p>
    <w:p w:rsidR="00420065" w:rsidRPr="001A57E3" w:rsidRDefault="00A44638">
      <w:pPr>
        <w:ind w:firstLine="709"/>
        <w:rPr>
          <w:lang w:val="en-GB" w:eastAsia="lt-LT"/>
        </w:rPr>
      </w:pPr>
      <w:proofErr w:type="gramStart"/>
      <w:r w:rsidRPr="001A57E3">
        <w:rPr>
          <w:lang w:val="en-GB"/>
        </w:rPr>
        <w:t>Table 1.</w:t>
      </w:r>
      <w:proofErr w:type="gramEnd"/>
      <w:r w:rsidRPr="001A57E3">
        <w:rPr>
          <w:lang w:val="en-GB"/>
        </w:rPr>
        <w:t xml:space="preserve"> </w:t>
      </w:r>
      <w:proofErr w:type="gramStart"/>
      <w:r w:rsidRPr="001A57E3">
        <w:rPr>
          <w:lang w:val="en-GB"/>
        </w:rPr>
        <w:t>Financed part of the project</w:t>
      </w:r>
      <w:r w:rsidR="00545694" w:rsidRPr="001A57E3">
        <w:rPr>
          <w:lang w:val="en-GB" w:eastAsia="lt-LT"/>
        </w:rPr>
        <w:t>.</w:t>
      </w:r>
      <w:proofErr w:type="gramEnd"/>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133"/>
        <w:gridCol w:w="993"/>
        <w:gridCol w:w="1134"/>
        <w:gridCol w:w="1274"/>
        <w:gridCol w:w="1417"/>
        <w:gridCol w:w="879"/>
        <w:gridCol w:w="1124"/>
        <w:gridCol w:w="10"/>
        <w:gridCol w:w="992"/>
      </w:tblGrid>
      <w:tr w:rsidR="00A44638" w:rsidRPr="001A57E3" w:rsidTr="00A44638">
        <w:trPr>
          <w:trHeight w:val="412"/>
        </w:trPr>
        <w:tc>
          <w:tcPr>
            <w:tcW w:w="674"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rsidR="00A44638" w:rsidRPr="001A57E3" w:rsidRDefault="009C48F8" w:rsidP="00A44638">
            <w:pPr>
              <w:tabs>
                <w:tab w:val="left" w:pos="318"/>
              </w:tabs>
              <w:rPr>
                <w:rFonts w:eastAsia="Calibri"/>
                <w:szCs w:val="24"/>
                <w:lang w:val="en-GB" w:eastAsia="lt-LT"/>
              </w:rPr>
            </w:pPr>
            <w:r w:rsidRPr="001A57E3">
              <w:rPr>
                <w:rFonts w:eastAsia="Calibri"/>
                <w:lang w:val="en-GB" w:eastAsia="lt-LT"/>
              </w:rPr>
              <w:t>No.</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E7E6E6"/>
          </w:tcPr>
          <w:p w:rsidR="00A44638" w:rsidRPr="001A57E3" w:rsidRDefault="00A44638" w:rsidP="00A44638">
            <w:pPr>
              <w:tabs>
                <w:tab w:val="left" w:pos="426"/>
              </w:tabs>
              <w:jc w:val="both"/>
              <w:rPr>
                <w:rFonts w:eastAsia="Calibri"/>
                <w:szCs w:val="24"/>
                <w:lang w:val="en-GB" w:eastAsia="lt-LT"/>
              </w:rPr>
            </w:pPr>
          </w:p>
        </w:tc>
        <w:tc>
          <w:tcPr>
            <w:tcW w:w="993" w:type="dxa"/>
            <w:tcBorders>
              <w:top w:val="single" w:sz="4" w:space="0" w:color="auto"/>
              <w:left w:val="single" w:sz="4" w:space="0" w:color="auto"/>
              <w:bottom w:val="single" w:sz="4" w:space="0" w:color="auto"/>
              <w:right w:val="single" w:sz="4" w:space="0" w:color="auto"/>
            </w:tcBorders>
            <w:shd w:val="clear" w:color="auto" w:fill="E7E6E6"/>
          </w:tcPr>
          <w:p w:rsidR="00A44638" w:rsidRPr="001A57E3" w:rsidRDefault="00A44638" w:rsidP="00A44638">
            <w:pPr>
              <w:tabs>
                <w:tab w:val="left" w:pos="426"/>
              </w:tabs>
              <w:jc w:val="both"/>
              <w:rPr>
                <w:rFonts w:eastAsia="Calibri"/>
                <w:szCs w:val="24"/>
                <w:lang w:val="en-GB" w:eastAsia="lt-LT"/>
              </w:rPr>
            </w:pPr>
          </w:p>
        </w:tc>
        <w:tc>
          <w:tcPr>
            <w:tcW w:w="3825" w:type="dxa"/>
            <w:gridSpan w:val="3"/>
            <w:tcBorders>
              <w:top w:val="single" w:sz="4" w:space="0" w:color="auto"/>
              <w:left w:val="single" w:sz="4" w:space="0" w:color="auto"/>
              <w:bottom w:val="single" w:sz="4" w:space="0" w:color="auto"/>
              <w:right w:val="single" w:sz="4" w:space="0" w:color="auto"/>
            </w:tcBorders>
            <w:shd w:val="clear" w:color="auto" w:fill="E7E6E6"/>
            <w:hideMark/>
          </w:tcPr>
          <w:p w:rsidR="00A44638" w:rsidRPr="001A57E3" w:rsidRDefault="00A44638" w:rsidP="00A44638">
            <w:pPr>
              <w:tabs>
                <w:tab w:val="left" w:pos="426"/>
              </w:tabs>
              <w:spacing w:before="120" w:after="120"/>
              <w:jc w:val="center"/>
              <w:rPr>
                <w:lang w:val="en-GB"/>
              </w:rPr>
            </w:pPr>
            <w:r w:rsidRPr="001A57E3">
              <w:rPr>
                <w:lang w:val="en-GB"/>
              </w:rPr>
              <w:t>Possible increase in the base financed part, but in any case, not more than 80 percent of the eligible expenses.</w:t>
            </w:r>
          </w:p>
        </w:tc>
        <w:tc>
          <w:tcPr>
            <w:tcW w:w="3005" w:type="dxa"/>
            <w:gridSpan w:val="4"/>
            <w:tcBorders>
              <w:top w:val="single" w:sz="4" w:space="0" w:color="auto"/>
              <w:left w:val="single" w:sz="4" w:space="0" w:color="auto"/>
              <w:bottom w:val="single" w:sz="4" w:space="0" w:color="auto"/>
              <w:right w:val="single" w:sz="4" w:space="0" w:color="auto"/>
            </w:tcBorders>
            <w:shd w:val="clear" w:color="auto" w:fill="E7E6E6"/>
            <w:vAlign w:val="center"/>
            <w:hideMark/>
          </w:tcPr>
          <w:p w:rsidR="00A44638" w:rsidRPr="001A57E3" w:rsidRDefault="00A44638" w:rsidP="00A44638">
            <w:pPr>
              <w:tabs>
                <w:tab w:val="left" w:pos="426"/>
              </w:tabs>
              <w:spacing w:before="120" w:after="120"/>
              <w:jc w:val="center"/>
              <w:rPr>
                <w:lang w:val="en-GB"/>
              </w:rPr>
            </w:pPr>
            <w:r w:rsidRPr="001A57E3">
              <w:rPr>
                <w:lang w:val="en-GB"/>
              </w:rPr>
              <w:t xml:space="preserve">Largest possible financed part having regard to the status of the State aid beneficiary </w:t>
            </w:r>
          </w:p>
        </w:tc>
      </w:tr>
      <w:tr w:rsidR="009C48F8" w:rsidRPr="001A57E3" w:rsidTr="00A44638">
        <w:trPr>
          <w:trHeight w:val="270"/>
        </w:trPr>
        <w:tc>
          <w:tcPr>
            <w:tcW w:w="674" w:type="dxa"/>
            <w:vMerge/>
            <w:tcBorders>
              <w:top w:val="single" w:sz="4" w:space="0" w:color="auto"/>
              <w:left w:val="single" w:sz="4" w:space="0" w:color="auto"/>
              <w:bottom w:val="single" w:sz="4" w:space="0" w:color="auto"/>
              <w:right w:val="single" w:sz="4" w:space="0" w:color="auto"/>
            </w:tcBorders>
            <w:vAlign w:val="center"/>
            <w:hideMark/>
          </w:tcPr>
          <w:p w:rsidR="009C48F8" w:rsidRPr="001A57E3" w:rsidRDefault="009C48F8" w:rsidP="009C48F8">
            <w:pPr>
              <w:rPr>
                <w:rFonts w:eastAsia="Calibri"/>
                <w:szCs w:val="24"/>
                <w:lang w:val="en-GB"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C48F8" w:rsidRPr="001A57E3" w:rsidRDefault="009C48F8" w:rsidP="009C48F8">
            <w:pPr>
              <w:rPr>
                <w:rFonts w:eastAsia="Calibri"/>
                <w:szCs w:val="24"/>
                <w:lang w:val="en-GB" w:eastAsia="lt-LT"/>
              </w:rPr>
            </w:pPr>
          </w:p>
        </w:tc>
        <w:tc>
          <w:tcPr>
            <w:tcW w:w="993" w:type="dxa"/>
            <w:tcBorders>
              <w:top w:val="single" w:sz="4" w:space="0" w:color="auto"/>
              <w:left w:val="single" w:sz="4" w:space="0" w:color="auto"/>
              <w:bottom w:val="single" w:sz="4" w:space="0" w:color="auto"/>
              <w:right w:val="single" w:sz="4" w:space="0" w:color="auto"/>
            </w:tcBorders>
            <w:shd w:val="clear" w:color="auto" w:fill="E7E6E6"/>
            <w:hideMark/>
          </w:tcPr>
          <w:p w:rsidR="009C48F8" w:rsidRPr="001A57E3" w:rsidRDefault="009C48F8" w:rsidP="009C48F8">
            <w:pPr>
              <w:spacing w:before="120" w:after="120"/>
              <w:rPr>
                <w:lang w:val="en-GB"/>
              </w:rPr>
            </w:pPr>
            <w:r w:rsidRPr="001A57E3">
              <w:rPr>
                <w:lang w:val="en-GB"/>
              </w:rPr>
              <w:t xml:space="preserve">Basic financed part </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rsidR="009C48F8" w:rsidRPr="001A57E3" w:rsidRDefault="009C48F8" w:rsidP="009C48F8">
            <w:pPr>
              <w:tabs>
                <w:tab w:val="left" w:pos="426"/>
              </w:tabs>
              <w:spacing w:before="120" w:after="120"/>
              <w:rPr>
                <w:lang w:val="en-GB"/>
              </w:rPr>
            </w:pPr>
            <w:r w:rsidRPr="001A57E3">
              <w:rPr>
                <w:lang w:val="en-GB"/>
              </w:rPr>
              <w:t xml:space="preserve">Increased for medium-sized enterprises </w:t>
            </w:r>
          </w:p>
        </w:tc>
        <w:tc>
          <w:tcPr>
            <w:tcW w:w="1274" w:type="dxa"/>
            <w:tcBorders>
              <w:top w:val="single" w:sz="4" w:space="0" w:color="auto"/>
              <w:left w:val="single" w:sz="4" w:space="0" w:color="auto"/>
              <w:bottom w:val="single" w:sz="4" w:space="0" w:color="auto"/>
              <w:right w:val="single" w:sz="4" w:space="0" w:color="auto"/>
            </w:tcBorders>
            <w:shd w:val="clear" w:color="auto" w:fill="E7E6E6"/>
            <w:hideMark/>
          </w:tcPr>
          <w:p w:rsidR="009C48F8" w:rsidRPr="001A57E3" w:rsidRDefault="009C48F8" w:rsidP="009C48F8">
            <w:pPr>
              <w:tabs>
                <w:tab w:val="left" w:pos="426"/>
              </w:tabs>
              <w:spacing w:before="120" w:after="120"/>
              <w:rPr>
                <w:lang w:val="en-GB"/>
              </w:rPr>
            </w:pPr>
            <w:r w:rsidRPr="001A57E3">
              <w:rPr>
                <w:lang w:val="en-GB"/>
              </w:rPr>
              <w:t xml:space="preserve">Increased for micro and small enterprises </w:t>
            </w:r>
          </w:p>
        </w:tc>
        <w:tc>
          <w:tcPr>
            <w:tcW w:w="1417" w:type="dxa"/>
            <w:tcBorders>
              <w:top w:val="single" w:sz="4" w:space="0" w:color="auto"/>
              <w:left w:val="single" w:sz="4" w:space="0" w:color="auto"/>
              <w:bottom w:val="single" w:sz="4" w:space="0" w:color="auto"/>
              <w:right w:val="single" w:sz="4" w:space="0" w:color="auto"/>
            </w:tcBorders>
            <w:shd w:val="clear" w:color="auto" w:fill="E7E6E6"/>
            <w:hideMark/>
          </w:tcPr>
          <w:p w:rsidR="009C48F8" w:rsidRPr="001A57E3" w:rsidRDefault="009C48F8" w:rsidP="009C48F8">
            <w:pPr>
              <w:spacing w:before="120" w:after="120"/>
              <w:rPr>
                <w:lang w:val="en-GB"/>
              </w:rPr>
            </w:pPr>
            <w:r w:rsidRPr="001A57E3">
              <w:rPr>
                <w:lang w:val="en-GB"/>
              </w:rPr>
              <w:t>Increased for efficient cooperation provided the conditions of Article 25(6)(b) of the Regulation (EU) No. 651/2014 are met;</w:t>
            </w:r>
          </w:p>
        </w:tc>
        <w:tc>
          <w:tcPr>
            <w:tcW w:w="879" w:type="dxa"/>
            <w:tcBorders>
              <w:top w:val="single" w:sz="4" w:space="0" w:color="auto"/>
              <w:left w:val="single" w:sz="4" w:space="0" w:color="auto"/>
              <w:bottom w:val="single" w:sz="4" w:space="0" w:color="auto"/>
              <w:right w:val="single" w:sz="4" w:space="0" w:color="auto"/>
            </w:tcBorders>
            <w:shd w:val="clear" w:color="auto" w:fill="E7E6E6"/>
            <w:hideMark/>
          </w:tcPr>
          <w:p w:rsidR="009C48F8" w:rsidRPr="001A57E3" w:rsidRDefault="009C48F8" w:rsidP="009C48F8">
            <w:pPr>
              <w:tabs>
                <w:tab w:val="left" w:pos="426"/>
              </w:tabs>
              <w:spacing w:before="120" w:after="120"/>
              <w:rPr>
                <w:lang w:val="en-GB"/>
              </w:rPr>
            </w:pPr>
            <w:r w:rsidRPr="001A57E3">
              <w:rPr>
                <w:lang w:val="en-GB"/>
              </w:rPr>
              <w:t xml:space="preserve">Large enterprise </w:t>
            </w:r>
          </w:p>
        </w:tc>
        <w:tc>
          <w:tcPr>
            <w:tcW w:w="1124" w:type="dxa"/>
            <w:tcBorders>
              <w:top w:val="single" w:sz="4" w:space="0" w:color="auto"/>
              <w:left w:val="single" w:sz="4" w:space="0" w:color="auto"/>
              <w:bottom w:val="single" w:sz="4" w:space="0" w:color="auto"/>
              <w:right w:val="single" w:sz="4" w:space="0" w:color="auto"/>
            </w:tcBorders>
            <w:shd w:val="clear" w:color="auto" w:fill="E7E6E6"/>
            <w:hideMark/>
          </w:tcPr>
          <w:p w:rsidR="009C48F8" w:rsidRPr="001A57E3" w:rsidRDefault="009C48F8" w:rsidP="009C48F8">
            <w:pPr>
              <w:tabs>
                <w:tab w:val="left" w:pos="426"/>
              </w:tabs>
              <w:spacing w:before="120" w:after="120"/>
              <w:rPr>
                <w:lang w:val="en-GB"/>
              </w:rPr>
            </w:pPr>
            <w:r w:rsidRPr="001A57E3">
              <w:rPr>
                <w:lang w:val="en-GB"/>
              </w:rPr>
              <w:t xml:space="preserve">Medium-sized enterprise </w:t>
            </w:r>
          </w:p>
        </w:tc>
        <w:tc>
          <w:tcPr>
            <w:tcW w:w="1002" w:type="dxa"/>
            <w:gridSpan w:val="2"/>
            <w:tcBorders>
              <w:top w:val="single" w:sz="4" w:space="0" w:color="auto"/>
              <w:left w:val="single" w:sz="4" w:space="0" w:color="auto"/>
              <w:bottom w:val="single" w:sz="4" w:space="0" w:color="auto"/>
              <w:right w:val="single" w:sz="4" w:space="0" w:color="auto"/>
            </w:tcBorders>
            <w:shd w:val="clear" w:color="auto" w:fill="E7E6E6"/>
            <w:hideMark/>
          </w:tcPr>
          <w:p w:rsidR="009C48F8" w:rsidRPr="001A57E3" w:rsidRDefault="009C48F8" w:rsidP="009C48F8">
            <w:pPr>
              <w:tabs>
                <w:tab w:val="left" w:pos="426"/>
              </w:tabs>
              <w:spacing w:before="120" w:after="120"/>
              <w:rPr>
                <w:lang w:val="en-GB"/>
              </w:rPr>
            </w:pPr>
            <w:r w:rsidRPr="001A57E3">
              <w:rPr>
                <w:lang w:val="en-GB"/>
              </w:rPr>
              <w:t xml:space="preserve">Micro and small enterprise </w:t>
            </w:r>
          </w:p>
        </w:tc>
      </w:tr>
      <w:tr w:rsidR="009C48F8" w:rsidRPr="001A57E3" w:rsidTr="00A44638">
        <w:tc>
          <w:tcPr>
            <w:tcW w:w="674" w:type="dxa"/>
            <w:tcBorders>
              <w:top w:val="single" w:sz="4" w:space="0" w:color="auto"/>
              <w:left w:val="single" w:sz="4" w:space="0" w:color="auto"/>
              <w:bottom w:val="single" w:sz="4" w:space="0" w:color="auto"/>
              <w:right w:val="single" w:sz="4" w:space="0" w:color="auto"/>
            </w:tcBorders>
            <w:shd w:val="clear" w:color="auto" w:fill="E7E6E6"/>
            <w:hideMark/>
          </w:tcPr>
          <w:p w:rsidR="009C48F8" w:rsidRPr="001A57E3" w:rsidRDefault="009C48F8" w:rsidP="009C48F8">
            <w:pPr>
              <w:tabs>
                <w:tab w:val="left" w:pos="426"/>
              </w:tabs>
              <w:jc w:val="both"/>
              <w:rPr>
                <w:rFonts w:eastAsia="Calibri"/>
                <w:szCs w:val="24"/>
                <w:lang w:val="en-GB" w:eastAsia="lt-LT"/>
              </w:rPr>
            </w:pPr>
            <w:r w:rsidRPr="001A57E3">
              <w:rPr>
                <w:rFonts w:eastAsia="Calibri"/>
                <w:lang w:val="en-GB" w:eastAsia="lt-LT"/>
              </w:rPr>
              <w:t>1.</w:t>
            </w:r>
          </w:p>
        </w:tc>
        <w:tc>
          <w:tcPr>
            <w:tcW w:w="1133" w:type="dxa"/>
            <w:tcBorders>
              <w:top w:val="single" w:sz="4" w:space="0" w:color="auto"/>
              <w:left w:val="single" w:sz="4" w:space="0" w:color="auto"/>
              <w:bottom w:val="single" w:sz="4" w:space="0" w:color="auto"/>
              <w:right w:val="single" w:sz="4" w:space="0" w:color="auto"/>
            </w:tcBorders>
            <w:shd w:val="clear" w:color="auto" w:fill="E7E6E6"/>
            <w:hideMark/>
          </w:tcPr>
          <w:p w:rsidR="009C48F8" w:rsidRPr="001A57E3" w:rsidRDefault="009C48F8" w:rsidP="009C48F8">
            <w:pPr>
              <w:tabs>
                <w:tab w:val="left" w:pos="426"/>
              </w:tabs>
              <w:jc w:val="both"/>
              <w:rPr>
                <w:rFonts w:eastAsia="Calibri"/>
                <w:szCs w:val="24"/>
                <w:lang w:val="en-GB" w:eastAsia="lt-LT"/>
              </w:rPr>
            </w:pPr>
            <w:r w:rsidRPr="001A57E3">
              <w:rPr>
                <w:rFonts w:eastAsia="Calibri"/>
                <w:lang w:val="en-GB" w:eastAsia="lt-LT"/>
              </w:rPr>
              <w:t>Research</w:t>
            </w:r>
          </w:p>
        </w:tc>
        <w:tc>
          <w:tcPr>
            <w:tcW w:w="993" w:type="dxa"/>
            <w:tcBorders>
              <w:top w:val="single" w:sz="4" w:space="0" w:color="auto"/>
              <w:left w:val="single" w:sz="4" w:space="0" w:color="auto"/>
              <w:bottom w:val="single" w:sz="4" w:space="0" w:color="auto"/>
              <w:right w:val="single" w:sz="4" w:space="0" w:color="auto"/>
            </w:tcBorders>
            <w:hideMark/>
          </w:tcPr>
          <w:p w:rsidR="009C48F8" w:rsidRPr="001A57E3" w:rsidRDefault="009C48F8" w:rsidP="009C48F8">
            <w:pPr>
              <w:tabs>
                <w:tab w:val="left" w:pos="426"/>
              </w:tabs>
              <w:spacing w:before="120" w:after="120"/>
              <w:rPr>
                <w:lang w:val="en-GB"/>
              </w:rPr>
            </w:pPr>
            <w:r w:rsidRPr="001A57E3">
              <w:rPr>
                <w:lang w:val="en-GB"/>
              </w:rPr>
              <w:t>50%</w:t>
            </w:r>
          </w:p>
        </w:tc>
        <w:tc>
          <w:tcPr>
            <w:tcW w:w="1134" w:type="dxa"/>
            <w:tcBorders>
              <w:top w:val="single" w:sz="4" w:space="0" w:color="auto"/>
              <w:left w:val="single" w:sz="4" w:space="0" w:color="auto"/>
              <w:bottom w:val="single" w:sz="4" w:space="0" w:color="auto"/>
              <w:right w:val="single" w:sz="4" w:space="0" w:color="auto"/>
            </w:tcBorders>
            <w:hideMark/>
          </w:tcPr>
          <w:p w:rsidR="009C48F8" w:rsidRPr="001A57E3" w:rsidRDefault="009C48F8" w:rsidP="009C48F8">
            <w:pPr>
              <w:spacing w:before="120" w:after="120"/>
              <w:rPr>
                <w:i/>
                <w:lang w:val="en-GB"/>
              </w:rPr>
            </w:pPr>
            <w:r w:rsidRPr="001A57E3">
              <w:rPr>
                <w:lang w:val="en-GB"/>
              </w:rPr>
              <w:t xml:space="preserve">+10 percentage points </w:t>
            </w:r>
          </w:p>
        </w:tc>
        <w:tc>
          <w:tcPr>
            <w:tcW w:w="1274" w:type="dxa"/>
            <w:tcBorders>
              <w:top w:val="single" w:sz="4" w:space="0" w:color="auto"/>
              <w:left w:val="single" w:sz="4" w:space="0" w:color="auto"/>
              <w:bottom w:val="single" w:sz="4" w:space="0" w:color="auto"/>
              <w:right w:val="single" w:sz="4" w:space="0" w:color="auto"/>
            </w:tcBorders>
            <w:hideMark/>
          </w:tcPr>
          <w:p w:rsidR="009C48F8" w:rsidRPr="001A57E3" w:rsidRDefault="009C48F8" w:rsidP="009C48F8">
            <w:pPr>
              <w:spacing w:before="120" w:after="120"/>
              <w:rPr>
                <w:i/>
                <w:lang w:val="en-GB"/>
              </w:rPr>
            </w:pPr>
            <w:r w:rsidRPr="001A57E3">
              <w:rPr>
                <w:lang w:val="en-GB"/>
              </w:rPr>
              <w:t xml:space="preserve">+20 percentage points </w:t>
            </w:r>
          </w:p>
        </w:tc>
        <w:tc>
          <w:tcPr>
            <w:tcW w:w="1417" w:type="dxa"/>
            <w:tcBorders>
              <w:top w:val="single" w:sz="4" w:space="0" w:color="auto"/>
              <w:left w:val="single" w:sz="4" w:space="0" w:color="auto"/>
              <w:bottom w:val="single" w:sz="4" w:space="0" w:color="auto"/>
              <w:right w:val="single" w:sz="4" w:space="0" w:color="auto"/>
            </w:tcBorders>
            <w:hideMark/>
          </w:tcPr>
          <w:p w:rsidR="009C48F8" w:rsidRPr="001A57E3" w:rsidRDefault="009C48F8" w:rsidP="009C48F8">
            <w:pPr>
              <w:spacing w:before="120" w:after="120"/>
              <w:rPr>
                <w:i/>
                <w:lang w:val="en-GB"/>
              </w:rPr>
            </w:pPr>
            <w:r w:rsidRPr="001A57E3">
              <w:rPr>
                <w:lang w:val="en-GB"/>
              </w:rPr>
              <w:t xml:space="preserve">+15 percentage points </w:t>
            </w:r>
          </w:p>
        </w:tc>
        <w:tc>
          <w:tcPr>
            <w:tcW w:w="879" w:type="dxa"/>
            <w:tcBorders>
              <w:top w:val="single" w:sz="4" w:space="0" w:color="auto"/>
              <w:left w:val="single" w:sz="4" w:space="0" w:color="auto"/>
              <w:bottom w:val="single" w:sz="4" w:space="0" w:color="auto"/>
              <w:right w:val="single" w:sz="4" w:space="0" w:color="auto"/>
            </w:tcBorders>
            <w:hideMark/>
          </w:tcPr>
          <w:p w:rsidR="009C48F8" w:rsidRPr="001A57E3" w:rsidRDefault="009C48F8" w:rsidP="009C48F8">
            <w:pPr>
              <w:tabs>
                <w:tab w:val="left" w:pos="426"/>
              </w:tabs>
              <w:jc w:val="both"/>
              <w:rPr>
                <w:rFonts w:eastAsia="Calibri"/>
                <w:szCs w:val="24"/>
                <w:lang w:val="en-GB" w:eastAsia="lt-LT"/>
              </w:rPr>
            </w:pPr>
            <w:r w:rsidRPr="001A57E3">
              <w:rPr>
                <w:rFonts w:eastAsia="Calibri"/>
                <w:lang w:val="en-GB" w:eastAsia="lt-LT"/>
              </w:rPr>
              <w:t>65%</w:t>
            </w:r>
          </w:p>
        </w:tc>
        <w:tc>
          <w:tcPr>
            <w:tcW w:w="1134" w:type="dxa"/>
            <w:gridSpan w:val="2"/>
            <w:tcBorders>
              <w:top w:val="single" w:sz="4" w:space="0" w:color="auto"/>
              <w:left w:val="single" w:sz="4" w:space="0" w:color="auto"/>
              <w:bottom w:val="single" w:sz="4" w:space="0" w:color="auto"/>
              <w:right w:val="single" w:sz="4" w:space="0" w:color="auto"/>
            </w:tcBorders>
            <w:hideMark/>
          </w:tcPr>
          <w:p w:rsidR="009C48F8" w:rsidRPr="001A57E3" w:rsidRDefault="009C48F8" w:rsidP="009C48F8">
            <w:pPr>
              <w:tabs>
                <w:tab w:val="left" w:pos="426"/>
              </w:tabs>
              <w:jc w:val="both"/>
              <w:rPr>
                <w:rFonts w:eastAsia="Calibri"/>
                <w:szCs w:val="24"/>
                <w:lang w:val="en-GB" w:eastAsia="lt-LT"/>
              </w:rPr>
            </w:pPr>
            <w:r w:rsidRPr="001A57E3">
              <w:rPr>
                <w:rFonts w:eastAsia="Calibri"/>
                <w:lang w:val="en-GB" w:eastAsia="lt-LT"/>
              </w:rPr>
              <w:t>75%</w:t>
            </w:r>
          </w:p>
        </w:tc>
        <w:tc>
          <w:tcPr>
            <w:tcW w:w="992" w:type="dxa"/>
            <w:tcBorders>
              <w:top w:val="single" w:sz="4" w:space="0" w:color="auto"/>
              <w:left w:val="single" w:sz="4" w:space="0" w:color="auto"/>
              <w:bottom w:val="single" w:sz="4" w:space="0" w:color="auto"/>
              <w:right w:val="single" w:sz="4" w:space="0" w:color="auto"/>
            </w:tcBorders>
            <w:hideMark/>
          </w:tcPr>
          <w:p w:rsidR="009C48F8" w:rsidRPr="001A57E3" w:rsidRDefault="009C48F8" w:rsidP="009C48F8">
            <w:pPr>
              <w:tabs>
                <w:tab w:val="left" w:pos="426"/>
              </w:tabs>
              <w:jc w:val="both"/>
              <w:rPr>
                <w:rFonts w:eastAsia="Calibri"/>
                <w:szCs w:val="24"/>
                <w:lang w:val="en-GB" w:eastAsia="lt-LT"/>
              </w:rPr>
            </w:pPr>
            <w:r w:rsidRPr="001A57E3">
              <w:rPr>
                <w:rFonts w:eastAsia="Calibri"/>
                <w:lang w:val="en-GB" w:eastAsia="lt-LT"/>
              </w:rPr>
              <w:t>80%</w:t>
            </w:r>
          </w:p>
        </w:tc>
      </w:tr>
      <w:tr w:rsidR="009C48F8" w:rsidRPr="001A57E3" w:rsidTr="00A44638">
        <w:tc>
          <w:tcPr>
            <w:tcW w:w="674" w:type="dxa"/>
            <w:tcBorders>
              <w:top w:val="single" w:sz="4" w:space="0" w:color="auto"/>
              <w:left w:val="single" w:sz="4" w:space="0" w:color="auto"/>
              <w:bottom w:val="single" w:sz="4" w:space="0" w:color="auto"/>
              <w:right w:val="single" w:sz="4" w:space="0" w:color="auto"/>
            </w:tcBorders>
            <w:shd w:val="clear" w:color="auto" w:fill="E7E6E6"/>
            <w:hideMark/>
          </w:tcPr>
          <w:p w:rsidR="009C48F8" w:rsidRPr="001A57E3" w:rsidRDefault="009C48F8" w:rsidP="009C48F8">
            <w:pPr>
              <w:tabs>
                <w:tab w:val="left" w:pos="426"/>
              </w:tabs>
              <w:jc w:val="both"/>
              <w:rPr>
                <w:rFonts w:eastAsia="Calibri"/>
                <w:szCs w:val="24"/>
                <w:lang w:val="en-GB" w:eastAsia="lt-LT"/>
              </w:rPr>
            </w:pPr>
            <w:r w:rsidRPr="001A57E3">
              <w:rPr>
                <w:rFonts w:eastAsia="Calibri"/>
                <w:lang w:val="en-GB" w:eastAsia="lt-LT"/>
              </w:rPr>
              <w:t>2.</w:t>
            </w:r>
          </w:p>
        </w:tc>
        <w:tc>
          <w:tcPr>
            <w:tcW w:w="1133" w:type="dxa"/>
            <w:tcBorders>
              <w:top w:val="single" w:sz="4" w:space="0" w:color="auto"/>
              <w:left w:val="single" w:sz="4" w:space="0" w:color="auto"/>
              <w:bottom w:val="single" w:sz="4" w:space="0" w:color="auto"/>
              <w:right w:val="single" w:sz="4" w:space="0" w:color="auto"/>
            </w:tcBorders>
            <w:shd w:val="clear" w:color="auto" w:fill="E7E6E6"/>
            <w:hideMark/>
          </w:tcPr>
          <w:p w:rsidR="009C48F8" w:rsidRPr="001A57E3" w:rsidRDefault="009C48F8" w:rsidP="009C48F8">
            <w:pPr>
              <w:tabs>
                <w:tab w:val="left" w:pos="426"/>
              </w:tabs>
              <w:jc w:val="both"/>
              <w:rPr>
                <w:rFonts w:eastAsia="Calibri"/>
                <w:szCs w:val="24"/>
                <w:lang w:val="en-GB" w:eastAsia="lt-LT"/>
              </w:rPr>
            </w:pPr>
            <w:r w:rsidRPr="001A57E3">
              <w:rPr>
                <w:rFonts w:eastAsia="Calibri"/>
                <w:lang w:val="en-GB" w:eastAsia="lt-LT"/>
              </w:rPr>
              <w:t>Development</w:t>
            </w:r>
          </w:p>
        </w:tc>
        <w:tc>
          <w:tcPr>
            <w:tcW w:w="993" w:type="dxa"/>
            <w:tcBorders>
              <w:top w:val="single" w:sz="4" w:space="0" w:color="auto"/>
              <w:left w:val="single" w:sz="4" w:space="0" w:color="auto"/>
              <w:bottom w:val="single" w:sz="4" w:space="0" w:color="auto"/>
              <w:right w:val="single" w:sz="4" w:space="0" w:color="auto"/>
            </w:tcBorders>
            <w:hideMark/>
          </w:tcPr>
          <w:p w:rsidR="009C48F8" w:rsidRPr="001A57E3" w:rsidRDefault="009C48F8" w:rsidP="009C48F8">
            <w:pPr>
              <w:tabs>
                <w:tab w:val="left" w:pos="426"/>
              </w:tabs>
              <w:spacing w:before="120" w:after="120"/>
              <w:rPr>
                <w:lang w:val="en-GB"/>
              </w:rPr>
            </w:pPr>
            <w:r w:rsidRPr="001A57E3">
              <w:rPr>
                <w:lang w:val="en-GB"/>
              </w:rPr>
              <w:t>25%</w:t>
            </w:r>
          </w:p>
        </w:tc>
        <w:tc>
          <w:tcPr>
            <w:tcW w:w="1134" w:type="dxa"/>
            <w:tcBorders>
              <w:top w:val="single" w:sz="4" w:space="0" w:color="auto"/>
              <w:left w:val="single" w:sz="4" w:space="0" w:color="auto"/>
              <w:bottom w:val="single" w:sz="4" w:space="0" w:color="auto"/>
              <w:right w:val="single" w:sz="4" w:space="0" w:color="auto"/>
            </w:tcBorders>
            <w:hideMark/>
          </w:tcPr>
          <w:p w:rsidR="009C48F8" w:rsidRPr="001A57E3" w:rsidRDefault="009C48F8" w:rsidP="009C48F8">
            <w:pPr>
              <w:spacing w:before="120" w:after="120"/>
              <w:rPr>
                <w:i/>
                <w:lang w:val="en-GB"/>
              </w:rPr>
            </w:pPr>
            <w:r w:rsidRPr="001A57E3">
              <w:rPr>
                <w:lang w:val="en-GB"/>
              </w:rPr>
              <w:t xml:space="preserve">+10 percentage points </w:t>
            </w:r>
          </w:p>
        </w:tc>
        <w:tc>
          <w:tcPr>
            <w:tcW w:w="1274" w:type="dxa"/>
            <w:tcBorders>
              <w:top w:val="single" w:sz="4" w:space="0" w:color="auto"/>
              <w:left w:val="single" w:sz="4" w:space="0" w:color="auto"/>
              <w:bottom w:val="single" w:sz="4" w:space="0" w:color="auto"/>
              <w:right w:val="single" w:sz="4" w:space="0" w:color="auto"/>
            </w:tcBorders>
            <w:hideMark/>
          </w:tcPr>
          <w:p w:rsidR="009C48F8" w:rsidRPr="001A57E3" w:rsidRDefault="009C48F8" w:rsidP="009C48F8">
            <w:pPr>
              <w:spacing w:before="120" w:after="120"/>
              <w:rPr>
                <w:i/>
                <w:lang w:val="en-GB"/>
              </w:rPr>
            </w:pPr>
            <w:r w:rsidRPr="001A57E3">
              <w:rPr>
                <w:lang w:val="en-GB"/>
              </w:rPr>
              <w:t xml:space="preserve">+20 percentage points </w:t>
            </w:r>
          </w:p>
        </w:tc>
        <w:tc>
          <w:tcPr>
            <w:tcW w:w="1417" w:type="dxa"/>
            <w:tcBorders>
              <w:top w:val="single" w:sz="4" w:space="0" w:color="auto"/>
              <w:left w:val="single" w:sz="4" w:space="0" w:color="auto"/>
              <w:bottom w:val="single" w:sz="4" w:space="0" w:color="auto"/>
              <w:right w:val="single" w:sz="4" w:space="0" w:color="auto"/>
            </w:tcBorders>
            <w:hideMark/>
          </w:tcPr>
          <w:p w:rsidR="009C48F8" w:rsidRPr="001A57E3" w:rsidRDefault="009C48F8" w:rsidP="009C48F8">
            <w:pPr>
              <w:spacing w:before="120" w:after="120"/>
              <w:rPr>
                <w:i/>
                <w:lang w:val="en-GB"/>
              </w:rPr>
            </w:pPr>
            <w:r w:rsidRPr="001A57E3">
              <w:rPr>
                <w:lang w:val="en-GB"/>
              </w:rPr>
              <w:t xml:space="preserve">+15 percentage points </w:t>
            </w:r>
          </w:p>
        </w:tc>
        <w:tc>
          <w:tcPr>
            <w:tcW w:w="879" w:type="dxa"/>
            <w:tcBorders>
              <w:top w:val="single" w:sz="4" w:space="0" w:color="auto"/>
              <w:left w:val="single" w:sz="4" w:space="0" w:color="auto"/>
              <w:bottom w:val="single" w:sz="4" w:space="0" w:color="auto"/>
              <w:right w:val="single" w:sz="4" w:space="0" w:color="auto"/>
            </w:tcBorders>
            <w:hideMark/>
          </w:tcPr>
          <w:p w:rsidR="009C48F8" w:rsidRPr="001A57E3" w:rsidRDefault="009C48F8" w:rsidP="009C48F8">
            <w:pPr>
              <w:tabs>
                <w:tab w:val="left" w:pos="426"/>
              </w:tabs>
              <w:jc w:val="both"/>
              <w:rPr>
                <w:rFonts w:eastAsia="Calibri"/>
                <w:szCs w:val="24"/>
                <w:lang w:val="en-GB" w:eastAsia="lt-LT"/>
              </w:rPr>
            </w:pPr>
            <w:r w:rsidRPr="001A57E3">
              <w:rPr>
                <w:rFonts w:eastAsia="Calibri"/>
                <w:lang w:val="en-GB" w:eastAsia="lt-LT"/>
              </w:rPr>
              <w:t>40%</w:t>
            </w:r>
          </w:p>
        </w:tc>
        <w:tc>
          <w:tcPr>
            <w:tcW w:w="1134" w:type="dxa"/>
            <w:gridSpan w:val="2"/>
            <w:tcBorders>
              <w:top w:val="single" w:sz="4" w:space="0" w:color="auto"/>
              <w:left w:val="single" w:sz="4" w:space="0" w:color="auto"/>
              <w:bottom w:val="single" w:sz="4" w:space="0" w:color="auto"/>
              <w:right w:val="single" w:sz="4" w:space="0" w:color="auto"/>
            </w:tcBorders>
            <w:hideMark/>
          </w:tcPr>
          <w:p w:rsidR="009C48F8" w:rsidRPr="001A57E3" w:rsidRDefault="009C48F8" w:rsidP="009C48F8">
            <w:pPr>
              <w:tabs>
                <w:tab w:val="left" w:pos="426"/>
              </w:tabs>
              <w:jc w:val="both"/>
              <w:rPr>
                <w:rFonts w:eastAsia="Calibri"/>
                <w:szCs w:val="24"/>
                <w:lang w:val="en-GB" w:eastAsia="lt-LT"/>
              </w:rPr>
            </w:pPr>
            <w:r w:rsidRPr="001A57E3">
              <w:rPr>
                <w:rFonts w:eastAsia="Calibri"/>
                <w:lang w:val="en-GB" w:eastAsia="lt-LT"/>
              </w:rPr>
              <w:t>50%</w:t>
            </w:r>
          </w:p>
        </w:tc>
        <w:tc>
          <w:tcPr>
            <w:tcW w:w="992" w:type="dxa"/>
            <w:tcBorders>
              <w:top w:val="single" w:sz="4" w:space="0" w:color="auto"/>
              <w:left w:val="single" w:sz="4" w:space="0" w:color="auto"/>
              <w:bottom w:val="single" w:sz="4" w:space="0" w:color="auto"/>
              <w:right w:val="single" w:sz="4" w:space="0" w:color="auto"/>
            </w:tcBorders>
            <w:hideMark/>
          </w:tcPr>
          <w:p w:rsidR="009C48F8" w:rsidRPr="001A57E3" w:rsidRDefault="009C48F8" w:rsidP="009C48F8">
            <w:pPr>
              <w:tabs>
                <w:tab w:val="left" w:pos="426"/>
              </w:tabs>
              <w:jc w:val="both"/>
              <w:rPr>
                <w:rFonts w:eastAsia="Calibri"/>
                <w:szCs w:val="24"/>
                <w:lang w:val="en-GB" w:eastAsia="lt-LT"/>
              </w:rPr>
            </w:pPr>
            <w:r w:rsidRPr="001A57E3">
              <w:rPr>
                <w:rFonts w:eastAsia="Calibri"/>
                <w:lang w:val="en-GB" w:eastAsia="lt-LT"/>
              </w:rPr>
              <w:t>60%</w:t>
            </w:r>
          </w:p>
        </w:tc>
      </w:tr>
    </w:tbl>
    <w:p w:rsidR="00420065" w:rsidRPr="001A57E3" w:rsidRDefault="00420065">
      <w:pPr>
        <w:rPr>
          <w:lang w:val="en-GB" w:eastAsia="lt-LT"/>
        </w:rPr>
      </w:pPr>
    </w:p>
    <w:p w:rsidR="00420065" w:rsidRPr="001A57E3" w:rsidRDefault="00545694">
      <w:pPr>
        <w:ind w:firstLine="709"/>
        <w:jc w:val="both"/>
        <w:rPr>
          <w:lang w:val="en-GB" w:eastAsia="lt-LT"/>
        </w:rPr>
      </w:pPr>
      <w:r w:rsidRPr="001A57E3">
        <w:rPr>
          <w:lang w:val="en-GB" w:eastAsia="lt-LT"/>
        </w:rPr>
        <w:t>4</w:t>
      </w:r>
      <w:r w:rsidR="00D45921" w:rsidRPr="001A57E3">
        <w:rPr>
          <w:lang w:val="en-GB" w:eastAsia="lt-LT"/>
        </w:rPr>
        <w:t>5</w:t>
      </w:r>
      <w:r w:rsidRPr="001A57E3">
        <w:rPr>
          <w:lang w:val="en-GB" w:eastAsia="lt-LT"/>
        </w:rPr>
        <w:t xml:space="preserve">. </w:t>
      </w:r>
      <w:r w:rsidR="009C48F8" w:rsidRPr="001A57E3">
        <w:rPr>
          <w:lang w:val="en-GB"/>
        </w:rPr>
        <w:t xml:space="preserve">The application (project) shall clearly distinguish between research and development stages (the share of the development stage shall comprise more than 5% of the maximum possible financed part of the project). The largest possible financed part of the project shall be specified for each stage. In case the project is implemented in cooperation with a partner that is a private legal entity, and/or the project outcomes are intended for carrying out economic activity (as defined in Communication No. 2014/C198/01), the largest possible eligible part of the project in indicated in </w:t>
      </w:r>
      <w:r w:rsidR="00673D89" w:rsidRPr="001A57E3">
        <w:rPr>
          <w:lang w:val="en-GB"/>
        </w:rPr>
        <w:t>Article</w:t>
      </w:r>
      <w:r w:rsidR="009C48F8" w:rsidRPr="001A57E3">
        <w:rPr>
          <w:lang w:val="en-GB"/>
        </w:rPr>
        <w:t xml:space="preserve"> 44 of the </w:t>
      </w:r>
      <w:r w:rsidR="00EF72E5" w:rsidRPr="001A57E3">
        <w:rPr>
          <w:lang w:val="en-GB"/>
        </w:rPr>
        <w:t>Guidelines</w:t>
      </w:r>
      <w:r w:rsidRPr="001A57E3">
        <w:rPr>
          <w:lang w:val="en-GB" w:eastAsia="lt-LT"/>
        </w:rPr>
        <w:t>.</w:t>
      </w:r>
    </w:p>
    <w:p w:rsidR="00420065" w:rsidRPr="001A57E3" w:rsidRDefault="008F3A0A">
      <w:pPr>
        <w:ind w:firstLine="709"/>
        <w:jc w:val="both"/>
        <w:rPr>
          <w:lang w:val="en-GB" w:eastAsia="lt-LT"/>
        </w:rPr>
      </w:pPr>
      <w:r w:rsidRPr="001A57E3">
        <w:rPr>
          <w:lang w:val="en-GB" w:eastAsia="lt-LT"/>
        </w:rPr>
        <w:t>4</w:t>
      </w:r>
      <w:r w:rsidR="00D45921" w:rsidRPr="001A57E3">
        <w:rPr>
          <w:lang w:val="en-GB" w:eastAsia="lt-LT"/>
        </w:rPr>
        <w:t>6</w:t>
      </w:r>
      <w:r w:rsidR="00545694" w:rsidRPr="001A57E3">
        <w:rPr>
          <w:lang w:val="en-GB" w:eastAsia="lt-LT"/>
        </w:rPr>
        <w:t xml:space="preserve">. </w:t>
      </w:r>
      <w:r w:rsidR="009C48F8" w:rsidRPr="001A57E3">
        <w:rPr>
          <w:lang w:val="en-GB"/>
        </w:rPr>
        <w:t xml:space="preserve">In case for the purpose of the application (project) it is not possible to distinguish the research and development stages, the financed part of the project applicable for experimental development as specified in Article 44 of the </w:t>
      </w:r>
      <w:r w:rsidR="00EF72E5" w:rsidRPr="001A57E3">
        <w:rPr>
          <w:lang w:val="en-GB"/>
        </w:rPr>
        <w:t>Guidelines</w:t>
      </w:r>
      <w:r w:rsidR="009C48F8" w:rsidRPr="001A57E3">
        <w:rPr>
          <w:lang w:val="en-GB"/>
        </w:rPr>
        <w:t xml:space="preserve"> shall apply to the project</w:t>
      </w:r>
      <w:r w:rsidR="00545694" w:rsidRPr="001A57E3">
        <w:rPr>
          <w:lang w:val="en-GB" w:eastAsia="lt-LT"/>
        </w:rPr>
        <w:t>.</w:t>
      </w:r>
    </w:p>
    <w:p w:rsidR="00420065" w:rsidRPr="001A57E3" w:rsidRDefault="008F3A0A">
      <w:pPr>
        <w:ind w:firstLine="709"/>
        <w:jc w:val="both"/>
        <w:rPr>
          <w:lang w:val="en-GB" w:eastAsia="lt-LT"/>
        </w:rPr>
      </w:pPr>
      <w:r w:rsidRPr="001A57E3">
        <w:rPr>
          <w:lang w:val="en-GB" w:eastAsia="lt-LT"/>
        </w:rPr>
        <w:t>4</w:t>
      </w:r>
      <w:r w:rsidR="00D45921" w:rsidRPr="001A57E3">
        <w:rPr>
          <w:lang w:val="en-GB" w:eastAsia="lt-LT"/>
        </w:rPr>
        <w:t>7</w:t>
      </w:r>
      <w:r w:rsidR="00545694" w:rsidRPr="001A57E3">
        <w:rPr>
          <w:lang w:val="en-GB" w:eastAsia="lt-LT"/>
        </w:rPr>
        <w:t xml:space="preserve">. </w:t>
      </w:r>
      <w:r w:rsidR="009C48F8" w:rsidRPr="001A57E3">
        <w:rPr>
          <w:lang w:val="en-GB"/>
        </w:rPr>
        <w:t>In case the project is implemented with a partner, the financed part of the project shall be determined with respect to each State aid beneficiary. One of several parties cooperating with respect to the project may undertake all the expenses of the project, and thus protect the other parties from any financial risk</w:t>
      </w:r>
      <w:r w:rsidR="00545694" w:rsidRPr="001A57E3">
        <w:rPr>
          <w:lang w:val="en-GB" w:eastAsia="lt-LT"/>
        </w:rPr>
        <w:t>.</w:t>
      </w:r>
    </w:p>
    <w:p w:rsidR="00EA53F6" w:rsidRPr="001A57E3" w:rsidRDefault="008F3A0A">
      <w:pPr>
        <w:ind w:firstLine="709"/>
        <w:jc w:val="both"/>
        <w:rPr>
          <w:lang w:val="en-GB" w:eastAsia="lt-LT"/>
        </w:rPr>
      </w:pPr>
      <w:r w:rsidRPr="001A57E3">
        <w:rPr>
          <w:lang w:val="en-GB" w:eastAsia="lt-LT"/>
        </w:rPr>
        <w:t>4</w:t>
      </w:r>
      <w:r w:rsidR="00D45921" w:rsidRPr="001A57E3">
        <w:rPr>
          <w:lang w:val="en-GB" w:eastAsia="lt-LT"/>
        </w:rPr>
        <w:t>8</w:t>
      </w:r>
      <w:r w:rsidR="00545694" w:rsidRPr="001A57E3">
        <w:rPr>
          <w:lang w:val="en-GB" w:eastAsia="lt-LT"/>
        </w:rPr>
        <w:t xml:space="preserve">. </w:t>
      </w:r>
      <w:r w:rsidR="009C48F8" w:rsidRPr="001A57E3">
        <w:rPr>
          <w:lang w:val="en-GB"/>
        </w:rPr>
        <w:t xml:space="preserve">With a view to receiving an additional financial intensity of 15% according to </w:t>
      </w:r>
      <w:r w:rsidR="00673D89" w:rsidRPr="001A57E3">
        <w:rPr>
          <w:lang w:val="en-GB"/>
        </w:rPr>
        <w:t>Article</w:t>
      </w:r>
      <w:r w:rsidR="009C48F8" w:rsidRPr="001A57E3">
        <w:rPr>
          <w:lang w:val="en-GB"/>
        </w:rPr>
        <w:t xml:space="preserve"> 44 of the </w:t>
      </w:r>
      <w:r w:rsidR="00EF72E5" w:rsidRPr="001A57E3">
        <w:rPr>
          <w:lang w:val="en-GB"/>
        </w:rPr>
        <w:t>Guidelines</w:t>
      </w:r>
      <w:r w:rsidR="009C48F8" w:rsidRPr="001A57E3">
        <w:rPr>
          <w:lang w:val="en-GB"/>
        </w:rPr>
        <w:t>, i.e. by an efficient cooperation between the private legal entity and at least one research and studies institution, or a university hospital, at least one of the following conditions must be met</w:t>
      </w:r>
      <w:r w:rsidR="00EA53F6" w:rsidRPr="001A57E3">
        <w:rPr>
          <w:lang w:val="en-GB" w:eastAsia="lt-LT"/>
        </w:rPr>
        <w:t>:</w:t>
      </w:r>
    </w:p>
    <w:p w:rsidR="00EA53F6" w:rsidRPr="001A57E3" w:rsidRDefault="008F3A0A">
      <w:pPr>
        <w:ind w:firstLine="709"/>
        <w:jc w:val="both"/>
        <w:rPr>
          <w:lang w:val="en-GB" w:eastAsia="lt-LT"/>
        </w:rPr>
      </w:pPr>
      <w:r w:rsidRPr="001A57E3">
        <w:rPr>
          <w:lang w:val="en-GB" w:eastAsia="lt-LT"/>
        </w:rPr>
        <w:t>4</w:t>
      </w:r>
      <w:r w:rsidR="00D45921" w:rsidRPr="001A57E3">
        <w:rPr>
          <w:lang w:val="en-GB" w:eastAsia="lt-LT"/>
        </w:rPr>
        <w:t>8</w:t>
      </w:r>
      <w:r w:rsidR="00EA53F6" w:rsidRPr="001A57E3">
        <w:rPr>
          <w:lang w:val="en-GB" w:eastAsia="lt-LT"/>
        </w:rPr>
        <w:t xml:space="preserve">.1. </w:t>
      </w:r>
      <w:proofErr w:type="gramStart"/>
      <w:r w:rsidR="000A16E5" w:rsidRPr="001A57E3">
        <w:rPr>
          <w:lang w:val="en-GB"/>
        </w:rPr>
        <w:t>the</w:t>
      </w:r>
      <w:proofErr w:type="gramEnd"/>
      <w:r w:rsidR="000A16E5" w:rsidRPr="001A57E3">
        <w:rPr>
          <w:lang w:val="en-GB"/>
        </w:rPr>
        <w:t xml:space="preserve"> research and studies institution, or the university hospital shall cover at least 10 percent of the eligible expenses and shall have a right to publish its own research results</w:t>
      </w:r>
      <w:r w:rsidR="00EA53F6" w:rsidRPr="001A57E3">
        <w:rPr>
          <w:lang w:val="en-GB" w:eastAsia="lt-LT"/>
        </w:rPr>
        <w:t>;</w:t>
      </w:r>
    </w:p>
    <w:p w:rsidR="00420065" w:rsidRPr="001A57E3" w:rsidRDefault="008F3A0A">
      <w:pPr>
        <w:ind w:firstLine="709"/>
        <w:jc w:val="both"/>
        <w:rPr>
          <w:lang w:val="en-GB" w:eastAsia="lt-LT"/>
        </w:rPr>
      </w:pPr>
      <w:r w:rsidRPr="001A57E3">
        <w:rPr>
          <w:lang w:val="en-GB" w:eastAsia="lt-LT"/>
        </w:rPr>
        <w:t>4</w:t>
      </w:r>
      <w:r w:rsidR="00D45921" w:rsidRPr="001A57E3">
        <w:rPr>
          <w:lang w:val="en-GB" w:eastAsia="lt-LT"/>
        </w:rPr>
        <w:t>8</w:t>
      </w:r>
      <w:r w:rsidR="00EA53F6" w:rsidRPr="001A57E3">
        <w:rPr>
          <w:lang w:val="en-GB" w:eastAsia="lt-LT"/>
        </w:rPr>
        <w:t xml:space="preserve">.2. </w:t>
      </w:r>
      <w:proofErr w:type="gramStart"/>
      <w:r w:rsidR="000A16E5" w:rsidRPr="001A57E3">
        <w:rPr>
          <w:lang w:val="en-GB"/>
        </w:rPr>
        <w:t>the</w:t>
      </w:r>
      <w:proofErr w:type="gramEnd"/>
      <w:r w:rsidR="000A16E5" w:rsidRPr="001A57E3">
        <w:rPr>
          <w:lang w:val="en-GB"/>
        </w:rPr>
        <w:t xml:space="preserve"> project results must be widely published at conferences, publications, open access repositories, or through a free or open software</w:t>
      </w:r>
      <w:r w:rsidR="00545694" w:rsidRPr="001A57E3">
        <w:rPr>
          <w:lang w:val="en-GB" w:eastAsia="lt-LT"/>
        </w:rPr>
        <w:t>.</w:t>
      </w:r>
    </w:p>
    <w:p w:rsidR="00420065" w:rsidRPr="001A57E3" w:rsidRDefault="00D45921">
      <w:pPr>
        <w:ind w:firstLine="709"/>
        <w:jc w:val="both"/>
        <w:rPr>
          <w:lang w:val="en-GB" w:eastAsia="lt-LT"/>
        </w:rPr>
      </w:pPr>
      <w:r w:rsidRPr="001A57E3">
        <w:rPr>
          <w:lang w:val="en-GB" w:eastAsia="lt-LT"/>
        </w:rPr>
        <w:t>49</w:t>
      </w:r>
      <w:r w:rsidR="00545694" w:rsidRPr="001A57E3">
        <w:rPr>
          <w:lang w:val="en-GB" w:eastAsia="lt-LT"/>
        </w:rPr>
        <w:t xml:space="preserve">. </w:t>
      </w:r>
      <w:r w:rsidR="000A16E5" w:rsidRPr="001A57E3">
        <w:rPr>
          <w:lang w:val="en-GB"/>
        </w:rPr>
        <w:t>The share of the eligible expenses of the project that is not covered by the funds allocated to the project shall be funded from the funds of the beneficiary and/or the partner</w:t>
      </w:r>
      <w:r w:rsidR="00545694" w:rsidRPr="001A57E3">
        <w:rPr>
          <w:lang w:val="en-GB" w:eastAsia="lt-LT"/>
        </w:rPr>
        <w:t>.</w:t>
      </w:r>
    </w:p>
    <w:p w:rsidR="00420065" w:rsidRPr="001A57E3" w:rsidRDefault="008F3A0A" w:rsidP="00D43112">
      <w:pPr>
        <w:ind w:firstLine="709"/>
        <w:jc w:val="both"/>
        <w:rPr>
          <w:lang w:val="en-GB" w:eastAsia="lt-LT"/>
        </w:rPr>
      </w:pPr>
      <w:r w:rsidRPr="001A57E3">
        <w:rPr>
          <w:lang w:val="en-GB" w:eastAsia="lt-LT"/>
        </w:rPr>
        <w:t>5</w:t>
      </w:r>
      <w:r w:rsidR="00C9071C" w:rsidRPr="001A57E3">
        <w:rPr>
          <w:lang w:val="en-GB" w:eastAsia="lt-LT"/>
        </w:rPr>
        <w:t>0</w:t>
      </w:r>
      <w:r w:rsidR="00545694" w:rsidRPr="001A57E3">
        <w:rPr>
          <w:lang w:val="en-GB" w:eastAsia="lt-LT"/>
        </w:rPr>
        <w:t xml:space="preserve">. </w:t>
      </w:r>
      <w:r w:rsidR="000A16E5" w:rsidRPr="001A57E3">
        <w:rPr>
          <w:lang w:val="en-GB"/>
        </w:rPr>
        <w:t>The contribution of the research and studies institution, or a university hospital to the project may consist of monetary contribution and/or a non-monetary contribution</w:t>
      </w:r>
      <w:r w:rsidR="00123501" w:rsidRPr="001A57E3">
        <w:rPr>
          <w:lang w:val="en-GB"/>
        </w:rPr>
        <w:t>—</w:t>
      </w:r>
      <w:r w:rsidR="000A16E5" w:rsidRPr="001A57E3">
        <w:rPr>
          <w:lang w:val="en-GB"/>
        </w:rPr>
        <w:t>volunteer work that shall be estimated in the manner set forth in Sub-</w:t>
      </w:r>
      <w:r w:rsidR="00673D89" w:rsidRPr="001A57E3">
        <w:rPr>
          <w:lang w:val="en-GB"/>
        </w:rPr>
        <w:t>Article</w:t>
      </w:r>
      <w:r w:rsidR="000A16E5" w:rsidRPr="001A57E3">
        <w:rPr>
          <w:lang w:val="en-GB"/>
        </w:rPr>
        <w:t xml:space="preserve"> 420.2 of the Project Regulations</w:t>
      </w:r>
      <w:r w:rsidR="00530B8F" w:rsidRPr="001A57E3">
        <w:rPr>
          <w:lang w:val="en-GB"/>
        </w:rPr>
        <w:t xml:space="preserve">, by applying the </w:t>
      </w:r>
      <w:r w:rsidR="00673D89" w:rsidRPr="001A57E3">
        <w:rPr>
          <w:lang w:val="en-GB"/>
        </w:rPr>
        <w:t xml:space="preserve">flat </w:t>
      </w:r>
      <w:r w:rsidR="00530B8F" w:rsidRPr="001A57E3">
        <w:rPr>
          <w:lang w:val="en-GB"/>
        </w:rPr>
        <w:t xml:space="preserve">rate of compensation in research projects specified in the Report on the determination of </w:t>
      </w:r>
      <w:r w:rsidR="00673D89" w:rsidRPr="001A57E3">
        <w:rPr>
          <w:lang w:val="en-GB" w:eastAsia="lt-LT"/>
        </w:rPr>
        <w:t xml:space="preserve">unit costs </w:t>
      </w:r>
      <w:r w:rsidR="00530B8F" w:rsidRPr="001A57E3">
        <w:rPr>
          <w:lang w:val="en-GB"/>
        </w:rPr>
        <w:t xml:space="preserve">of compensation in research projects, approved by Order No. V-213 of 13 December 2011 “On the Approval of the Research Report Form for Projects under Measure </w:t>
      </w:r>
      <w:r w:rsidR="00530B8F" w:rsidRPr="001A57E3">
        <w:rPr>
          <w:lang w:val="en-GB" w:eastAsia="lt-LT"/>
        </w:rPr>
        <w:t xml:space="preserve">VP1-3.1-ŠMM-07-K ‘Support for the Scientific Activities of Scientists and Other Researchers (Public Grant)’ of Priority No. 3 ‘Capacity Building of Researchers’ of the Operational Programme on Human Resource Development of 2007–2013 and the Approval of the </w:t>
      </w:r>
      <w:r w:rsidR="00530B8F" w:rsidRPr="001A57E3">
        <w:rPr>
          <w:lang w:val="en-GB"/>
        </w:rPr>
        <w:t>Methodology for the Calculation of Fixer Rates of Compensation in Research Projects</w:t>
      </w:r>
      <w:r w:rsidR="00D43112" w:rsidRPr="001A57E3">
        <w:rPr>
          <w:lang w:val="en-GB"/>
        </w:rPr>
        <w:t xml:space="preserve">” (the research report is published on </w:t>
      </w:r>
      <w:hyperlink r:id="rId17" w:history="1">
        <w:r w:rsidR="002F6825" w:rsidRPr="001A57E3">
          <w:rPr>
            <w:rStyle w:val="Hyperlink"/>
            <w:lang w:val="en-GB" w:eastAsia="lt-LT"/>
          </w:rPr>
          <w:t>http://www.esinvesticijos.lt/lt/dokumentai/supaprastinti-islaidu-apmokejimo-tyrimai</w:t>
        </w:r>
      </w:hyperlink>
      <w:r w:rsidR="002F6825" w:rsidRPr="001A57E3">
        <w:rPr>
          <w:lang w:val="en-GB" w:eastAsia="lt-LT"/>
        </w:rPr>
        <w:t xml:space="preserve"> </w:t>
      </w:r>
      <w:r w:rsidR="00D43112" w:rsidRPr="001A57E3">
        <w:rPr>
          <w:lang w:val="en-GB" w:eastAsia="lt-LT"/>
        </w:rPr>
        <w:t xml:space="preserve">and on the website of the implementing institution at </w:t>
      </w:r>
      <w:hyperlink r:id="rId18" w:history="1">
        <w:r w:rsidR="002F6825" w:rsidRPr="001A57E3">
          <w:rPr>
            <w:rStyle w:val="Hyperlink"/>
            <w:lang w:val="en-GB"/>
          </w:rPr>
          <w:t>www.lmt.lt</w:t>
        </w:r>
      </w:hyperlink>
      <w:r w:rsidR="00545694" w:rsidRPr="001A57E3">
        <w:rPr>
          <w:lang w:val="en-GB" w:eastAsia="lt-LT"/>
        </w:rPr>
        <w:t xml:space="preserve">). </w:t>
      </w:r>
      <w:r w:rsidR="00D43112" w:rsidRPr="001A57E3">
        <w:rPr>
          <w:lang w:val="en-GB"/>
        </w:rPr>
        <w:t>Volunteering is not reimbursed from the project funding resources; however, it is quoted and indicated in the Application with a view to assessing the contribution of the research and studies institution to the project implementation</w:t>
      </w:r>
      <w:r w:rsidR="00545694" w:rsidRPr="001A57E3">
        <w:rPr>
          <w:lang w:val="en-GB" w:eastAsia="lt-LT"/>
        </w:rPr>
        <w:t>.</w:t>
      </w:r>
    </w:p>
    <w:p w:rsidR="00420065" w:rsidRPr="001A57E3" w:rsidRDefault="0004285F">
      <w:pPr>
        <w:ind w:firstLine="709"/>
        <w:jc w:val="both"/>
        <w:rPr>
          <w:lang w:val="en-GB" w:eastAsia="lt-LT"/>
        </w:rPr>
      </w:pPr>
      <w:r w:rsidRPr="001A57E3">
        <w:rPr>
          <w:lang w:val="en-GB" w:eastAsia="lt-LT"/>
        </w:rPr>
        <w:t>5</w:t>
      </w:r>
      <w:r w:rsidR="00C9071C" w:rsidRPr="001A57E3">
        <w:rPr>
          <w:lang w:val="en-GB" w:eastAsia="lt-LT"/>
        </w:rPr>
        <w:t>1</w:t>
      </w:r>
      <w:r w:rsidR="00545694" w:rsidRPr="001A57E3">
        <w:rPr>
          <w:lang w:val="en-GB" w:eastAsia="lt-LT"/>
        </w:rPr>
        <w:t xml:space="preserve">. </w:t>
      </w:r>
      <w:r w:rsidR="00D43112" w:rsidRPr="001A57E3">
        <w:rPr>
          <w:lang w:val="en-GB"/>
        </w:rPr>
        <w:t>The Applicant and/or the partner at its own initiative, and/or the funds of other sources may contribute to the implementation of the project by an amount in excess of the required amount</w:t>
      </w:r>
      <w:r w:rsidR="00545694" w:rsidRPr="001A57E3">
        <w:rPr>
          <w:lang w:val="en-GB" w:eastAsia="lt-LT"/>
        </w:rPr>
        <w:t>.</w:t>
      </w:r>
    </w:p>
    <w:p w:rsidR="00420065" w:rsidRPr="001A57E3" w:rsidRDefault="0004285F">
      <w:pPr>
        <w:ind w:firstLine="709"/>
        <w:jc w:val="both"/>
        <w:rPr>
          <w:lang w:val="en-GB"/>
        </w:rPr>
      </w:pPr>
      <w:r w:rsidRPr="001A57E3">
        <w:rPr>
          <w:lang w:val="en-GB" w:eastAsia="lt-LT"/>
        </w:rPr>
        <w:t>5</w:t>
      </w:r>
      <w:r w:rsidR="00C9071C" w:rsidRPr="001A57E3">
        <w:rPr>
          <w:lang w:val="en-GB" w:eastAsia="lt-LT"/>
        </w:rPr>
        <w:t>2</w:t>
      </w:r>
      <w:r w:rsidR="00545694" w:rsidRPr="001A57E3">
        <w:rPr>
          <w:lang w:val="en-GB" w:eastAsia="lt-LT"/>
        </w:rPr>
        <w:t xml:space="preserve">. </w:t>
      </w:r>
      <w:r w:rsidR="00D43112" w:rsidRPr="001A57E3">
        <w:rPr>
          <w:lang w:val="en-GB"/>
        </w:rPr>
        <w:t>The eligible expenses of a project are the expenses that were incurred and paid in the period since the beginning of project until the end of the project activities, but no later than within the terms specified in Sub-Articles 213.1 and 213.5 of the Project Regulations. In case the project activities are launched before the effective date of the Grant Agreements, the project expenses shall be considered non-eligible for financing</w:t>
      </w:r>
      <w:r w:rsidR="00545694" w:rsidRPr="001A57E3">
        <w:rPr>
          <w:lang w:val="en-GB"/>
        </w:rPr>
        <w:t>.</w:t>
      </w:r>
    </w:p>
    <w:p w:rsidR="00420065" w:rsidRPr="001A57E3" w:rsidRDefault="00545694">
      <w:pPr>
        <w:ind w:firstLine="709"/>
        <w:jc w:val="both"/>
        <w:rPr>
          <w:lang w:val="en-GB"/>
        </w:rPr>
      </w:pPr>
      <w:r w:rsidRPr="001A57E3">
        <w:rPr>
          <w:rFonts w:ascii="Tms Rmn" w:hAnsi="Tms Rmn"/>
          <w:lang w:val="en-GB"/>
        </w:rPr>
        <w:t>5</w:t>
      </w:r>
      <w:r w:rsidR="00C9071C" w:rsidRPr="001A57E3">
        <w:rPr>
          <w:rFonts w:ascii="Tms Rmn" w:hAnsi="Tms Rmn"/>
          <w:lang w:val="en-GB"/>
        </w:rPr>
        <w:t>3</w:t>
      </w:r>
      <w:r w:rsidRPr="001A57E3">
        <w:rPr>
          <w:rFonts w:ascii="Tms Rmn" w:hAnsi="Tms Rmn"/>
          <w:lang w:val="en-GB"/>
        </w:rPr>
        <w:t xml:space="preserve">. </w:t>
      </w:r>
      <w:r w:rsidR="00D43112" w:rsidRPr="001A57E3">
        <w:rPr>
          <w:rFonts w:ascii="Tms Rmn" w:hAnsi="Tms Rmn"/>
          <w:lang w:val="en-GB"/>
        </w:rPr>
        <w:t xml:space="preserve">Eligible expenses of the project shall be reimbursed according to unit costs and flat rates. The amount of eligible amount of the project is determined for each project individually considering the reasonableness of project expenses at the eligibility assessment time, however, not exceeding the maximum amount allocated to the project as set forth in </w:t>
      </w:r>
      <w:r w:rsidR="00673D89" w:rsidRPr="001A57E3">
        <w:rPr>
          <w:rFonts w:ascii="Tms Rmn" w:hAnsi="Tms Rmn"/>
          <w:lang w:val="en-GB"/>
        </w:rPr>
        <w:t>Article</w:t>
      </w:r>
      <w:r w:rsidR="00D43112" w:rsidRPr="001A57E3">
        <w:rPr>
          <w:rFonts w:ascii="Tms Rmn" w:hAnsi="Tms Rmn"/>
          <w:lang w:val="en-GB"/>
        </w:rPr>
        <w:t xml:space="preserve"> 42 of the </w:t>
      </w:r>
      <w:r w:rsidR="00EF72E5" w:rsidRPr="001A57E3">
        <w:rPr>
          <w:rFonts w:ascii="Tms Rmn" w:hAnsi="Tms Rmn"/>
          <w:lang w:val="en-GB"/>
        </w:rPr>
        <w:t>Guidelines</w:t>
      </w:r>
      <w:r w:rsidRPr="001A57E3">
        <w:rPr>
          <w:lang w:val="en-GB" w:eastAsia="lt-LT"/>
        </w:rPr>
        <w:t>.</w:t>
      </w:r>
    </w:p>
    <w:p w:rsidR="00420065" w:rsidRPr="001A57E3" w:rsidRDefault="0004285F">
      <w:pPr>
        <w:ind w:firstLine="709"/>
        <w:jc w:val="both"/>
        <w:rPr>
          <w:lang w:val="en-GB"/>
        </w:rPr>
      </w:pPr>
      <w:r w:rsidRPr="001A57E3">
        <w:rPr>
          <w:lang w:val="en-GB" w:eastAsia="lt-LT"/>
        </w:rPr>
        <w:t>5</w:t>
      </w:r>
      <w:r w:rsidR="00C9071C" w:rsidRPr="001A57E3">
        <w:rPr>
          <w:lang w:val="en-GB" w:eastAsia="lt-LT"/>
        </w:rPr>
        <w:t>4</w:t>
      </w:r>
      <w:r w:rsidR="00545694" w:rsidRPr="001A57E3">
        <w:rPr>
          <w:lang w:val="en-GB" w:eastAsia="lt-LT"/>
        </w:rPr>
        <w:t xml:space="preserve">. </w:t>
      </w:r>
      <w:r w:rsidR="00D43112" w:rsidRPr="001A57E3">
        <w:rPr>
          <w:lang w:val="en-GB"/>
        </w:rPr>
        <w:t xml:space="preserve">A beneficiary may be disbursed an advance payment. A maximum advance payment allocated to the project is 30 % of the funding amount allocated to the project, unless the Grant Agreement provides for a smaller maximum advance </w:t>
      </w:r>
      <w:r w:rsidR="00494546" w:rsidRPr="001A57E3">
        <w:rPr>
          <w:lang w:val="en-GB"/>
        </w:rPr>
        <w:t>payment</w:t>
      </w:r>
      <w:r w:rsidR="00D43112" w:rsidRPr="001A57E3">
        <w:rPr>
          <w:lang w:val="en-GB"/>
        </w:rPr>
        <w:t xml:space="preserve">. The maximum advance </w:t>
      </w:r>
      <w:r w:rsidR="00494546" w:rsidRPr="001A57E3">
        <w:rPr>
          <w:lang w:val="en-GB"/>
        </w:rPr>
        <w:t>payment</w:t>
      </w:r>
      <w:r w:rsidR="00D43112" w:rsidRPr="001A57E3">
        <w:rPr>
          <w:lang w:val="en-GB"/>
        </w:rPr>
        <w:t xml:space="preserve"> and the advance payment procedure are specified in the Grant Agreement and Section 21 of the Project Regulations</w:t>
      </w:r>
      <w:r w:rsidR="00545694" w:rsidRPr="001A57E3">
        <w:rPr>
          <w:lang w:val="en-GB"/>
        </w:rPr>
        <w:t>.</w:t>
      </w:r>
    </w:p>
    <w:p w:rsidR="00420065" w:rsidRPr="001A57E3" w:rsidRDefault="0004285F">
      <w:pPr>
        <w:ind w:firstLine="709"/>
        <w:jc w:val="both"/>
        <w:rPr>
          <w:lang w:val="en-GB" w:eastAsia="lt-LT"/>
        </w:rPr>
      </w:pPr>
      <w:r w:rsidRPr="001A57E3">
        <w:rPr>
          <w:lang w:val="en-GB" w:eastAsia="lt-LT"/>
        </w:rPr>
        <w:t>5</w:t>
      </w:r>
      <w:r w:rsidR="00C9071C" w:rsidRPr="001A57E3">
        <w:rPr>
          <w:lang w:val="en-GB" w:eastAsia="lt-LT"/>
        </w:rPr>
        <w:t>5</w:t>
      </w:r>
      <w:r w:rsidR="00545694" w:rsidRPr="001A57E3">
        <w:rPr>
          <w:lang w:val="en-GB" w:eastAsia="lt-LT"/>
        </w:rPr>
        <w:t xml:space="preserve">. </w:t>
      </w:r>
      <w:r w:rsidR="00D43112" w:rsidRPr="001A57E3">
        <w:rPr>
          <w:lang w:val="en-GB"/>
        </w:rPr>
        <w:t xml:space="preserve">For the purpose of the </w:t>
      </w:r>
      <w:r w:rsidR="00EF72E5" w:rsidRPr="001A57E3">
        <w:rPr>
          <w:lang w:val="en-GB"/>
        </w:rPr>
        <w:t>Guidelines</w:t>
      </w:r>
      <w:r w:rsidR="00D43112" w:rsidRPr="001A57E3">
        <w:rPr>
          <w:lang w:val="en-GB"/>
        </w:rPr>
        <w:t>, the eligible expenses of the project are</w:t>
      </w:r>
      <w:r w:rsidR="00545694" w:rsidRPr="001A57E3">
        <w:rPr>
          <w:lang w:val="en-GB" w:eastAsia="lt-LT"/>
        </w:rPr>
        <w:t>:</w:t>
      </w:r>
    </w:p>
    <w:p w:rsidR="00420065" w:rsidRPr="001A57E3" w:rsidRDefault="00420065">
      <w:pPr>
        <w:ind w:firstLine="709"/>
        <w:rPr>
          <w:lang w:val="en-GB" w:eastAsia="lt-LT"/>
        </w:rPr>
      </w:pPr>
    </w:p>
    <w:p w:rsidR="00420065" w:rsidRPr="001A57E3" w:rsidRDefault="00D43112">
      <w:pPr>
        <w:ind w:firstLine="709"/>
        <w:rPr>
          <w:lang w:val="en-GB" w:eastAsia="lt-LT"/>
        </w:rPr>
      </w:pPr>
      <w:proofErr w:type="gramStart"/>
      <w:r w:rsidRPr="001A57E3">
        <w:rPr>
          <w:lang w:val="en-GB" w:eastAsia="lt-LT"/>
        </w:rPr>
        <w:t>Table 2.</w:t>
      </w:r>
      <w:proofErr w:type="gramEnd"/>
      <w:r w:rsidRPr="001A57E3">
        <w:rPr>
          <w:lang w:val="en-GB" w:eastAsia="lt-LT"/>
        </w:rPr>
        <w:t xml:space="preserve"> </w:t>
      </w:r>
      <w:proofErr w:type="gramStart"/>
      <w:r w:rsidRPr="001A57E3">
        <w:rPr>
          <w:lang w:val="en-GB" w:eastAsia="lt-LT"/>
        </w:rPr>
        <w:t>Financed part of the project</w:t>
      </w:r>
      <w:r w:rsidR="00545694" w:rsidRPr="001A57E3">
        <w:rPr>
          <w:lang w:val="en-GB" w:eastAsia="lt-LT"/>
        </w:rPr>
        <w:t>.</w:t>
      </w:r>
      <w:proofErr w:type="gramEnd"/>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85"/>
        <w:gridCol w:w="2678"/>
        <w:gridCol w:w="5982"/>
      </w:tblGrid>
      <w:tr w:rsidR="00420065" w:rsidRPr="001A57E3" w:rsidTr="00D43112">
        <w:trPr>
          <w:trHeight w:val="1048"/>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065" w:rsidRPr="001A57E3" w:rsidRDefault="00D43112">
            <w:pPr>
              <w:spacing w:line="276" w:lineRule="auto"/>
              <w:jc w:val="center"/>
              <w:rPr>
                <w:b/>
                <w:szCs w:val="24"/>
                <w:lang w:val="en-GB" w:eastAsia="lt-LT"/>
              </w:rPr>
            </w:pPr>
            <w:r w:rsidRPr="001A57E3">
              <w:rPr>
                <w:b/>
                <w:lang w:val="en-GB" w:eastAsia="lt-LT"/>
              </w:rPr>
              <w:t>Expense category No.</w:t>
            </w:r>
          </w:p>
        </w:tc>
        <w:tc>
          <w:tcPr>
            <w:tcW w:w="2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065" w:rsidRPr="001A57E3" w:rsidRDefault="00D43112">
            <w:pPr>
              <w:spacing w:line="276" w:lineRule="auto"/>
              <w:jc w:val="center"/>
              <w:rPr>
                <w:b/>
                <w:szCs w:val="24"/>
                <w:lang w:val="en-GB" w:eastAsia="lt-LT"/>
              </w:rPr>
            </w:pPr>
            <w:r w:rsidRPr="001A57E3">
              <w:rPr>
                <w:b/>
                <w:lang w:val="en-GB" w:eastAsia="lt-LT"/>
              </w:rPr>
              <w:t>Expense category</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065" w:rsidRPr="001A57E3" w:rsidRDefault="00D43112">
            <w:pPr>
              <w:spacing w:line="276" w:lineRule="auto"/>
              <w:jc w:val="center"/>
              <w:rPr>
                <w:b/>
                <w:szCs w:val="24"/>
                <w:lang w:val="en-GB" w:eastAsia="lt-LT"/>
              </w:rPr>
            </w:pPr>
            <w:r w:rsidRPr="001A57E3">
              <w:rPr>
                <w:b/>
                <w:lang w:val="en-GB" w:eastAsia="lt-LT"/>
              </w:rPr>
              <w:t>Requirements and explanations</w:t>
            </w:r>
          </w:p>
        </w:tc>
      </w:tr>
      <w:tr w:rsidR="00420065" w:rsidRPr="001A57E3" w:rsidTr="00D43112">
        <w:trPr>
          <w:trHeight w:val="1048"/>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065" w:rsidRPr="001A57E3" w:rsidRDefault="00545694">
            <w:pPr>
              <w:spacing w:line="276" w:lineRule="auto"/>
              <w:jc w:val="both"/>
              <w:rPr>
                <w:b/>
                <w:szCs w:val="24"/>
                <w:lang w:val="en-GB" w:eastAsia="lt-LT"/>
              </w:rPr>
            </w:pPr>
            <w:r w:rsidRPr="001A57E3">
              <w:rPr>
                <w:b/>
                <w:lang w:val="en-GB" w:eastAsia="lt-LT"/>
              </w:rPr>
              <w:t>1.</w:t>
            </w:r>
          </w:p>
        </w:tc>
        <w:tc>
          <w:tcPr>
            <w:tcW w:w="2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065" w:rsidRPr="001A57E3" w:rsidRDefault="00D43112">
            <w:pPr>
              <w:spacing w:line="276" w:lineRule="auto"/>
              <w:rPr>
                <w:b/>
                <w:szCs w:val="24"/>
                <w:lang w:val="en-GB" w:eastAsia="lt-LT"/>
              </w:rPr>
            </w:pPr>
            <w:r w:rsidRPr="001A57E3">
              <w:rPr>
                <w:b/>
                <w:bCs/>
                <w:lang w:val="en-GB" w:eastAsia="lt-LT"/>
              </w:rPr>
              <w:t>Land</w:t>
            </w:r>
          </w:p>
        </w:tc>
        <w:tc>
          <w:tcPr>
            <w:tcW w:w="5982" w:type="dxa"/>
            <w:tcBorders>
              <w:top w:val="single" w:sz="4" w:space="0" w:color="auto"/>
              <w:left w:val="single" w:sz="4" w:space="0" w:color="auto"/>
              <w:bottom w:val="single" w:sz="4" w:space="0" w:color="auto"/>
              <w:right w:val="single" w:sz="4" w:space="0" w:color="auto"/>
            </w:tcBorders>
            <w:shd w:val="clear" w:color="auto" w:fill="FFFFFF"/>
          </w:tcPr>
          <w:p w:rsidR="00420065" w:rsidRPr="001A57E3" w:rsidRDefault="00420065">
            <w:pPr>
              <w:spacing w:line="276" w:lineRule="auto"/>
              <w:jc w:val="both"/>
              <w:rPr>
                <w:szCs w:val="24"/>
                <w:lang w:val="en-GB"/>
              </w:rPr>
            </w:pPr>
          </w:p>
          <w:p w:rsidR="00D43112" w:rsidRPr="001A57E3" w:rsidRDefault="00D43112">
            <w:pPr>
              <w:spacing w:line="276" w:lineRule="auto"/>
              <w:jc w:val="both"/>
              <w:rPr>
                <w:szCs w:val="24"/>
                <w:lang w:val="en-GB" w:eastAsia="lt-LT"/>
              </w:rPr>
            </w:pPr>
            <w:r w:rsidRPr="001A57E3">
              <w:rPr>
                <w:szCs w:val="24"/>
                <w:lang w:val="en-GB"/>
              </w:rPr>
              <w:t>Non-eligible</w:t>
            </w:r>
          </w:p>
        </w:tc>
      </w:tr>
      <w:tr w:rsidR="00D43112" w:rsidRPr="001A57E3" w:rsidTr="00D43112">
        <w:trPr>
          <w:trHeight w:val="1048"/>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3112" w:rsidRPr="001A57E3" w:rsidRDefault="00D43112" w:rsidP="00D43112">
            <w:pPr>
              <w:spacing w:line="276" w:lineRule="auto"/>
              <w:jc w:val="both"/>
              <w:rPr>
                <w:b/>
                <w:szCs w:val="24"/>
                <w:lang w:val="en-GB" w:eastAsia="lt-LT"/>
              </w:rPr>
            </w:pPr>
            <w:r w:rsidRPr="001A57E3">
              <w:rPr>
                <w:b/>
                <w:lang w:val="en-GB" w:eastAsia="lt-LT"/>
              </w:rPr>
              <w:t>2.</w:t>
            </w:r>
          </w:p>
        </w:tc>
        <w:tc>
          <w:tcPr>
            <w:tcW w:w="2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3112" w:rsidRPr="001A57E3" w:rsidRDefault="00D43112" w:rsidP="00D43112">
            <w:pPr>
              <w:spacing w:line="276" w:lineRule="auto"/>
              <w:rPr>
                <w:b/>
                <w:szCs w:val="24"/>
                <w:lang w:val="en-GB" w:eastAsia="lt-LT"/>
              </w:rPr>
            </w:pPr>
            <w:r w:rsidRPr="001A57E3">
              <w:rPr>
                <w:b/>
                <w:bCs/>
                <w:lang w:val="en-GB" w:eastAsia="lt-LT"/>
              </w:rPr>
              <w:t>Immovable property</w:t>
            </w:r>
          </w:p>
        </w:tc>
        <w:tc>
          <w:tcPr>
            <w:tcW w:w="5982" w:type="dxa"/>
            <w:tcBorders>
              <w:top w:val="single" w:sz="4" w:space="0" w:color="auto"/>
              <w:left w:val="single" w:sz="4" w:space="0" w:color="auto"/>
              <w:bottom w:val="single" w:sz="4" w:space="0" w:color="auto"/>
              <w:right w:val="single" w:sz="4" w:space="0" w:color="auto"/>
            </w:tcBorders>
            <w:shd w:val="clear" w:color="auto" w:fill="FFFFFF"/>
          </w:tcPr>
          <w:p w:rsidR="00D43112" w:rsidRPr="001A57E3" w:rsidRDefault="00D43112" w:rsidP="00D43112">
            <w:pPr>
              <w:spacing w:line="276" w:lineRule="auto"/>
              <w:jc w:val="both"/>
              <w:rPr>
                <w:szCs w:val="24"/>
                <w:lang w:val="en-GB"/>
              </w:rPr>
            </w:pPr>
          </w:p>
          <w:p w:rsidR="00D43112" w:rsidRPr="001A57E3" w:rsidRDefault="00D43112" w:rsidP="00D43112">
            <w:pPr>
              <w:spacing w:line="276" w:lineRule="auto"/>
              <w:jc w:val="both"/>
              <w:rPr>
                <w:szCs w:val="24"/>
                <w:lang w:val="en-GB" w:eastAsia="lt-LT"/>
              </w:rPr>
            </w:pPr>
            <w:r w:rsidRPr="001A57E3">
              <w:rPr>
                <w:szCs w:val="24"/>
                <w:lang w:val="en-GB"/>
              </w:rPr>
              <w:t>Non-eligible</w:t>
            </w:r>
          </w:p>
        </w:tc>
      </w:tr>
      <w:tr w:rsidR="00D43112" w:rsidRPr="001A57E3" w:rsidTr="00D43112">
        <w:trPr>
          <w:trHeight w:val="1048"/>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3112" w:rsidRPr="001A57E3" w:rsidRDefault="00D43112" w:rsidP="00D43112">
            <w:pPr>
              <w:spacing w:line="276" w:lineRule="auto"/>
              <w:jc w:val="both"/>
              <w:rPr>
                <w:b/>
                <w:szCs w:val="24"/>
                <w:lang w:val="en-GB" w:eastAsia="lt-LT"/>
              </w:rPr>
            </w:pPr>
            <w:r w:rsidRPr="001A57E3">
              <w:rPr>
                <w:b/>
                <w:lang w:val="en-GB" w:eastAsia="lt-LT"/>
              </w:rPr>
              <w:t>3.</w:t>
            </w:r>
          </w:p>
        </w:tc>
        <w:tc>
          <w:tcPr>
            <w:tcW w:w="2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3112" w:rsidRPr="001A57E3" w:rsidRDefault="00D43112" w:rsidP="00D43112">
            <w:pPr>
              <w:spacing w:line="276" w:lineRule="auto"/>
              <w:rPr>
                <w:b/>
                <w:szCs w:val="24"/>
                <w:lang w:val="en-GB" w:eastAsia="lt-LT"/>
              </w:rPr>
            </w:pPr>
            <w:r w:rsidRPr="001A57E3">
              <w:rPr>
                <w:b/>
                <w:bCs/>
                <w:lang w:val="en-GB" w:eastAsia="lt-LT"/>
              </w:rPr>
              <w:t>Construction, reconstruction, repairs and other works</w:t>
            </w:r>
          </w:p>
        </w:tc>
        <w:tc>
          <w:tcPr>
            <w:tcW w:w="5982" w:type="dxa"/>
            <w:tcBorders>
              <w:top w:val="single" w:sz="4" w:space="0" w:color="auto"/>
              <w:left w:val="single" w:sz="4" w:space="0" w:color="auto"/>
              <w:bottom w:val="single" w:sz="4" w:space="0" w:color="auto"/>
              <w:right w:val="single" w:sz="4" w:space="0" w:color="auto"/>
            </w:tcBorders>
            <w:shd w:val="clear" w:color="auto" w:fill="FFFFFF"/>
          </w:tcPr>
          <w:p w:rsidR="00D43112" w:rsidRPr="001A57E3" w:rsidRDefault="00D43112" w:rsidP="00D43112">
            <w:pPr>
              <w:spacing w:line="276" w:lineRule="auto"/>
              <w:jc w:val="both"/>
              <w:rPr>
                <w:szCs w:val="24"/>
                <w:lang w:val="en-GB"/>
              </w:rPr>
            </w:pPr>
          </w:p>
          <w:p w:rsidR="00D43112" w:rsidRPr="001A57E3" w:rsidRDefault="00D43112" w:rsidP="00D43112">
            <w:pPr>
              <w:spacing w:line="276" w:lineRule="auto"/>
              <w:jc w:val="both"/>
              <w:rPr>
                <w:szCs w:val="24"/>
                <w:lang w:val="en-GB" w:eastAsia="lt-LT"/>
              </w:rPr>
            </w:pPr>
            <w:r w:rsidRPr="001A57E3">
              <w:rPr>
                <w:szCs w:val="24"/>
                <w:lang w:val="en-GB"/>
              </w:rPr>
              <w:t>Non-eligible</w:t>
            </w:r>
          </w:p>
        </w:tc>
      </w:tr>
      <w:tr w:rsidR="00D43112" w:rsidRPr="001A57E3" w:rsidTr="00D43112">
        <w:trPr>
          <w:trHeight w:val="1048"/>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3112" w:rsidRPr="001A57E3" w:rsidRDefault="00D43112" w:rsidP="00D43112">
            <w:pPr>
              <w:spacing w:line="276" w:lineRule="auto"/>
              <w:jc w:val="both"/>
              <w:rPr>
                <w:b/>
                <w:szCs w:val="24"/>
                <w:lang w:val="en-GB" w:eastAsia="lt-LT"/>
              </w:rPr>
            </w:pPr>
            <w:r w:rsidRPr="001A57E3">
              <w:rPr>
                <w:b/>
                <w:lang w:val="en-GB" w:eastAsia="lt-LT"/>
              </w:rPr>
              <w:t>4.</w:t>
            </w:r>
          </w:p>
        </w:tc>
        <w:tc>
          <w:tcPr>
            <w:tcW w:w="2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3112" w:rsidRPr="001A57E3" w:rsidRDefault="00D43112" w:rsidP="00D43112">
            <w:pPr>
              <w:spacing w:line="276" w:lineRule="auto"/>
              <w:rPr>
                <w:b/>
                <w:szCs w:val="24"/>
                <w:lang w:val="en-GB" w:eastAsia="lt-LT"/>
              </w:rPr>
            </w:pPr>
            <w:r w:rsidRPr="001A57E3">
              <w:rPr>
                <w:b/>
                <w:bCs/>
                <w:lang w:val="en-GB" w:eastAsia="lt-LT"/>
              </w:rPr>
              <w:t>Equipment, installations and other assets</w:t>
            </w:r>
          </w:p>
        </w:tc>
        <w:tc>
          <w:tcPr>
            <w:tcW w:w="5982" w:type="dxa"/>
            <w:tcBorders>
              <w:top w:val="single" w:sz="4" w:space="0" w:color="auto"/>
              <w:left w:val="single" w:sz="4" w:space="0" w:color="auto"/>
              <w:bottom w:val="single" w:sz="4" w:space="0" w:color="auto"/>
              <w:right w:val="single" w:sz="4" w:space="0" w:color="auto"/>
            </w:tcBorders>
            <w:shd w:val="clear" w:color="auto" w:fill="FFFFFF"/>
          </w:tcPr>
          <w:p w:rsidR="00D43112" w:rsidRPr="001A57E3" w:rsidRDefault="00D43112" w:rsidP="00D43112">
            <w:pPr>
              <w:spacing w:line="276" w:lineRule="auto"/>
              <w:jc w:val="both"/>
              <w:rPr>
                <w:szCs w:val="24"/>
                <w:lang w:val="en-GB"/>
              </w:rPr>
            </w:pPr>
          </w:p>
          <w:p w:rsidR="00D43112" w:rsidRPr="001A57E3" w:rsidRDefault="00D43112" w:rsidP="00D43112">
            <w:pPr>
              <w:spacing w:line="276" w:lineRule="auto"/>
              <w:jc w:val="both"/>
              <w:rPr>
                <w:szCs w:val="24"/>
                <w:lang w:val="en-GB" w:eastAsia="lt-LT"/>
              </w:rPr>
            </w:pPr>
            <w:r w:rsidRPr="001A57E3">
              <w:rPr>
                <w:szCs w:val="24"/>
                <w:lang w:val="en-GB"/>
              </w:rPr>
              <w:t>Non-eligible</w:t>
            </w:r>
          </w:p>
        </w:tc>
      </w:tr>
      <w:tr w:rsidR="00420065" w:rsidRPr="001A57E3" w:rsidTr="00D43112">
        <w:trPr>
          <w:trHeight w:val="410"/>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065" w:rsidRPr="001A57E3" w:rsidRDefault="00545694">
            <w:pPr>
              <w:spacing w:line="276" w:lineRule="auto"/>
              <w:jc w:val="both"/>
              <w:rPr>
                <w:b/>
                <w:szCs w:val="24"/>
                <w:lang w:val="en-GB" w:eastAsia="lt-LT"/>
              </w:rPr>
            </w:pPr>
            <w:r w:rsidRPr="001A57E3">
              <w:rPr>
                <w:b/>
                <w:lang w:val="en-GB" w:eastAsia="lt-LT"/>
              </w:rPr>
              <w:t>5.</w:t>
            </w:r>
          </w:p>
        </w:tc>
        <w:tc>
          <w:tcPr>
            <w:tcW w:w="2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065" w:rsidRPr="001A57E3" w:rsidRDefault="00D43112">
            <w:pPr>
              <w:spacing w:line="276" w:lineRule="auto"/>
              <w:rPr>
                <w:b/>
                <w:szCs w:val="24"/>
                <w:lang w:val="en-GB" w:eastAsia="lt-LT"/>
              </w:rPr>
            </w:pPr>
            <w:r w:rsidRPr="001A57E3">
              <w:rPr>
                <w:b/>
                <w:lang w:val="en-GB" w:eastAsia="lt-LT"/>
              </w:rPr>
              <w:t>Project implementation</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10263" w:rsidRPr="001A57E3" w:rsidRDefault="00D43112" w:rsidP="00E10263">
            <w:pPr>
              <w:spacing w:line="276" w:lineRule="auto"/>
              <w:rPr>
                <w:lang w:val="en-GB" w:eastAsia="lt-LT"/>
              </w:rPr>
            </w:pPr>
            <w:r w:rsidRPr="001A57E3">
              <w:rPr>
                <w:lang w:val="en-GB"/>
              </w:rPr>
              <w:t>Expenses for the compensation of the personnel implementing the project and the related obligations of the employer</w:t>
            </w:r>
            <w:r w:rsidR="00E10263" w:rsidRPr="001A57E3">
              <w:rPr>
                <w:lang w:val="en-GB" w:eastAsia="lt-LT"/>
              </w:rPr>
              <w:t xml:space="preserve">, </w:t>
            </w:r>
            <w:r w:rsidRPr="001A57E3">
              <w:rPr>
                <w:lang w:val="en-GB" w:eastAsia="lt-LT"/>
              </w:rPr>
              <w:t xml:space="preserve">reimbursed by applying the </w:t>
            </w:r>
            <w:r w:rsidR="00673D89" w:rsidRPr="001A57E3">
              <w:rPr>
                <w:lang w:val="en-GB" w:eastAsia="lt-LT"/>
              </w:rPr>
              <w:t>unit costs</w:t>
            </w:r>
            <w:r w:rsidRPr="001A57E3">
              <w:rPr>
                <w:lang w:val="en-GB" w:eastAsia="lt-LT"/>
              </w:rPr>
              <w:t xml:space="preserve"> </w:t>
            </w:r>
            <w:r w:rsidR="0004285F" w:rsidRPr="001A57E3">
              <w:rPr>
                <w:lang w:val="en-GB" w:eastAsia="lt-LT"/>
              </w:rPr>
              <w:t>(</w:t>
            </w:r>
            <w:r w:rsidRPr="001A57E3">
              <w:rPr>
                <w:lang w:val="en-GB" w:eastAsia="lt-LT"/>
              </w:rPr>
              <w:t>Sub-</w:t>
            </w:r>
            <w:r w:rsidR="00673D89" w:rsidRPr="001A57E3">
              <w:rPr>
                <w:lang w:val="en-GB" w:eastAsia="lt-LT"/>
              </w:rPr>
              <w:t>Article</w:t>
            </w:r>
            <w:r w:rsidRPr="001A57E3">
              <w:rPr>
                <w:lang w:val="en-GB" w:eastAsia="lt-LT"/>
              </w:rPr>
              <w:t xml:space="preserve"> </w:t>
            </w:r>
            <w:r w:rsidR="0004285F" w:rsidRPr="001A57E3">
              <w:rPr>
                <w:lang w:val="en-GB" w:eastAsia="lt-LT"/>
              </w:rPr>
              <w:t>5</w:t>
            </w:r>
            <w:r w:rsidR="00F369C8" w:rsidRPr="001A57E3">
              <w:rPr>
                <w:lang w:val="en-GB" w:eastAsia="lt-LT"/>
              </w:rPr>
              <w:t>6</w:t>
            </w:r>
            <w:r w:rsidR="00E10263" w:rsidRPr="001A57E3">
              <w:rPr>
                <w:lang w:val="en-GB" w:eastAsia="lt-LT"/>
              </w:rPr>
              <w:t xml:space="preserve">.1.1 </w:t>
            </w:r>
            <w:r w:rsidRPr="001A57E3">
              <w:rPr>
                <w:lang w:val="en-GB" w:eastAsia="lt-LT"/>
              </w:rPr>
              <w:t xml:space="preserve">of the </w:t>
            </w:r>
            <w:r w:rsidR="00EF72E5" w:rsidRPr="001A57E3">
              <w:rPr>
                <w:lang w:val="en-GB" w:eastAsia="lt-LT"/>
              </w:rPr>
              <w:t>Guidelines</w:t>
            </w:r>
            <w:r w:rsidR="00E10263" w:rsidRPr="001A57E3">
              <w:rPr>
                <w:lang w:val="en-GB" w:eastAsia="lt-LT"/>
              </w:rPr>
              <w:t>)</w:t>
            </w:r>
            <w:r w:rsidR="004F6A28" w:rsidRPr="001A57E3">
              <w:rPr>
                <w:lang w:val="en-GB" w:eastAsia="lt-LT"/>
              </w:rPr>
              <w:t>;</w:t>
            </w:r>
          </w:p>
          <w:p w:rsidR="00E10263" w:rsidRPr="001A57E3" w:rsidRDefault="00E10263" w:rsidP="00E10263">
            <w:pPr>
              <w:spacing w:line="276" w:lineRule="auto"/>
              <w:rPr>
                <w:lang w:val="en-GB" w:eastAsia="lt-LT"/>
              </w:rPr>
            </w:pPr>
          </w:p>
          <w:p w:rsidR="00AD21B5" w:rsidRPr="001A57E3" w:rsidRDefault="00D43112" w:rsidP="00E10263">
            <w:pPr>
              <w:spacing w:line="276" w:lineRule="auto"/>
              <w:rPr>
                <w:lang w:val="en-GB" w:eastAsia="lt-LT"/>
              </w:rPr>
            </w:pPr>
            <w:r w:rsidRPr="001A57E3">
              <w:rPr>
                <w:lang w:val="en-GB"/>
              </w:rPr>
              <w:t>Expenses relating to the business trips, traveling and internships of the personnel implementing the project</w:t>
            </w:r>
            <w:r w:rsidR="00545694" w:rsidRPr="001A57E3">
              <w:rPr>
                <w:lang w:val="en-GB" w:eastAsia="lt-LT"/>
              </w:rPr>
              <w:t xml:space="preserve">, </w:t>
            </w:r>
            <w:r w:rsidRPr="001A57E3">
              <w:rPr>
                <w:lang w:val="en-GB" w:eastAsia="lt-LT"/>
              </w:rPr>
              <w:t xml:space="preserve">reimbursed by applying the </w:t>
            </w:r>
            <w:r w:rsidR="00673D89" w:rsidRPr="001A57E3">
              <w:rPr>
                <w:lang w:val="en-GB" w:eastAsia="lt-LT"/>
              </w:rPr>
              <w:t xml:space="preserve">unit costs </w:t>
            </w:r>
            <w:r w:rsidR="00545694" w:rsidRPr="001A57E3">
              <w:rPr>
                <w:lang w:val="en-GB" w:eastAsia="lt-LT"/>
              </w:rPr>
              <w:t>(</w:t>
            </w:r>
            <w:r w:rsidRPr="001A57E3">
              <w:rPr>
                <w:lang w:val="en-GB" w:eastAsia="lt-LT"/>
              </w:rPr>
              <w:t>Sub-</w:t>
            </w:r>
            <w:r w:rsidR="00673D89" w:rsidRPr="001A57E3">
              <w:rPr>
                <w:lang w:val="en-GB" w:eastAsia="lt-LT"/>
              </w:rPr>
              <w:t>Article</w:t>
            </w:r>
            <w:r w:rsidRPr="001A57E3">
              <w:rPr>
                <w:lang w:val="en-GB" w:eastAsia="lt-LT"/>
              </w:rPr>
              <w:t xml:space="preserve"> 56.1.1 of the </w:t>
            </w:r>
            <w:r w:rsidR="00EF72E5" w:rsidRPr="001A57E3">
              <w:rPr>
                <w:lang w:val="en-GB" w:eastAsia="lt-LT"/>
              </w:rPr>
              <w:t>Guidelines</w:t>
            </w:r>
            <w:r w:rsidR="00545694" w:rsidRPr="001A57E3">
              <w:rPr>
                <w:lang w:val="en-GB" w:eastAsia="lt-LT"/>
              </w:rPr>
              <w:t>)</w:t>
            </w:r>
            <w:r w:rsidR="007D0FFA" w:rsidRPr="001A57E3">
              <w:rPr>
                <w:lang w:val="en-GB" w:eastAsia="lt-LT"/>
              </w:rPr>
              <w:t xml:space="preserve">. </w:t>
            </w:r>
            <w:r w:rsidRPr="001A57E3">
              <w:rPr>
                <w:lang w:val="en-GB" w:eastAsia="lt-LT"/>
              </w:rPr>
              <w:t xml:space="preserve">Only those expenses relating to </w:t>
            </w:r>
            <w:r w:rsidRPr="001A57E3">
              <w:rPr>
                <w:lang w:val="en-GB"/>
              </w:rPr>
              <w:t xml:space="preserve">business trips, traveling and internships that are related to the content of the research funded according to the </w:t>
            </w:r>
            <w:r w:rsidR="00EF72E5" w:rsidRPr="001A57E3">
              <w:rPr>
                <w:lang w:val="en-GB"/>
              </w:rPr>
              <w:t>Guidelines</w:t>
            </w:r>
            <w:r w:rsidRPr="001A57E3">
              <w:rPr>
                <w:lang w:val="en-GB"/>
              </w:rPr>
              <w:t xml:space="preserve"> shall be eligible;</w:t>
            </w:r>
          </w:p>
          <w:p w:rsidR="00AD21B5" w:rsidRPr="001A57E3" w:rsidRDefault="00AD21B5" w:rsidP="00E10263">
            <w:pPr>
              <w:spacing w:line="276" w:lineRule="auto"/>
              <w:rPr>
                <w:lang w:val="en-GB" w:eastAsia="lt-LT"/>
              </w:rPr>
            </w:pPr>
          </w:p>
          <w:p w:rsidR="00755A8B" w:rsidRPr="001A57E3" w:rsidRDefault="005D23F7" w:rsidP="00E10263">
            <w:pPr>
              <w:spacing w:line="276" w:lineRule="auto"/>
              <w:rPr>
                <w:lang w:val="en-GB" w:eastAsia="lt-LT"/>
              </w:rPr>
            </w:pPr>
            <w:r w:rsidRPr="001A57E3">
              <w:rPr>
                <w:lang w:val="en-GB" w:eastAsia="lt-LT"/>
              </w:rPr>
              <w:t xml:space="preserve">Expenses relating to the moving of the research leader and the research group members, reimbursed by applying the </w:t>
            </w:r>
            <w:r w:rsidR="00673D89" w:rsidRPr="001A57E3">
              <w:rPr>
                <w:lang w:val="en-GB" w:eastAsia="lt-LT"/>
              </w:rPr>
              <w:t xml:space="preserve">unit costs </w:t>
            </w:r>
            <w:r w:rsidR="0004285F" w:rsidRPr="001A57E3">
              <w:rPr>
                <w:lang w:val="en-GB" w:eastAsia="lt-LT"/>
              </w:rPr>
              <w:t>(</w:t>
            </w:r>
            <w:r w:rsidRPr="001A57E3">
              <w:rPr>
                <w:lang w:val="en-GB" w:eastAsia="lt-LT"/>
              </w:rPr>
              <w:t>Sub-</w:t>
            </w:r>
            <w:r w:rsidR="00673D89" w:rsidRPr="001A57E3">
              <w:rPr>
                <w:lang w:val="en-GB" w:eastAsia="lt-LT"/>
              </w:rPr>
              <w:t>Article</w:t>
            </w:r>
            <w:r w:rsidRPr="001A57E3">
              <w:rPr>
                <w:lang w:val="en-GB" w:eastAsia="lt-LT"/>
              </w:rPr>
              <w:t xml:space="preserve"> 56.1.1 of the </w:t>
            </w:r>
            <w:r w:rsidR="00EF72E5" w:rsidRPr="001A57E3">
              <w:rPr>
                <w:lang w:val="en-GB" w:eastAsia="lt-LT"/>
              </w:rPr>
              <w:t>Guidelines</w:t>
            </w:r>
            <w:r w:rsidR="00AD21B5" w:rsidRPr="001A57E3">
              <w:rPr>
                <w:lang w:val="en-GB" w:eastAsia="lt-LT"/>
              </w:rPr>
              <w:t>)</w:t>
            </w:r>
            <w:r w:rsidR="004F6A28" w:rsidRPr="001A57E3">
              <w:rPr>
                <w:lang w:val="en-GB" w:eastAsia="lt-LT"/>
              </w:rPr>
              <w:t>.</w:t>
            </w:r>
          </w:p>
          <w:p w:rsidR="00755A8B" w:rsidRPr="001A57E3" w:rsidRDefault="00755A8B" w:rsidP="00E10263">
            <w:pPr>
              <w:spacing w:line="276" w:lineRule="auto"/>
              <w:rPr>
                <w:lang w:val="en-GB" w:eastAsia="lt-LT"/>
              </w:rPr>
            </w:pPr>
          </w:p>
        </w:tc>
      </w:tr>
      <w:tr w:rsidR="00420065" w:rsidRPr="001A57E3" w:rsidTr="00D43112">
        <w:trPr>
          <w:trHeight w:val="1062"/>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065" w:rsidRPr="001A57E3" w:rsidRDefault="00545694">
            <w:pPr>
              <w:spacing w:line="276" w:lineRule="auto"/>
              <w:jc w:val="both"/>
              <w:rPr>
                <w:b/>
                <w:szCs w:val="24"/>
                <w:lang w:val="en-GB" w:eastAsia="lt-LT"/>
              </w:rPr>
            </w:pPr>
            <w:r w:rsidRPr="001A57E3">
              <w:rPr>
                <w:b/>
                <w:lang w:val="en-GB" w:eastAsia="lt-LT"/>
              </w:rPr>
              <w:t>6.</w:t>
            </w:r>
          </w:p>
        </w:tc>
        <w:tc>
          <w:tcPr>
            <w:tcW w:w="2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065" w:rsidRPr="001A57E3" w:rsidRDefault="005D23F7">
            <w:pPr>
              <w:spacing w:line="276" w:lineRule="auto"/>
              <w:rPr>
                <w:b/>
                <w:szCs w:val="24"/>
                <w:lang w:val="en-GB" w:eastAsia="lt-LT"/>
              </w:rPr>
            </w:pPr>
            <w:r w:rsidRPr="001A57E3">
              <w:rPr>
                <w:b/>
                <w:lang w:val="en-GB" w:eastAsia="lt-LT"/>
              </w:rPr>
              <w:t>Information about the project</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065" w:rsidRPr="001A57E3" w:rsidRDefault="005D23F7" w:rsidP="00673D89">
            <w:pPr>
              <w:spacing w:line="276" w:lineRule="auto"/>
              <w:rPr>
                <w:lang w:val="en-GB" w:eastAsia="lt-LT"/>
              </w:rPr>
            </w:pPr>
            <w:r w:rsidRPr="001A57E3">
              <w:rPr>
                <w:lang w:val="en-GB" w:eastAsia="lt-LT"/>
              </w:rPr>
              <w:t xml:space="preserve">Expenses in this category are included in category 7 “Indirect costs and other costs according to the </w:t>
            </w:r>
            <w:r w:rsidR="00673D89" w:rsidRPr="001A57E3">
              <w:rPr>
                <w:lang w:val="en-GB" w:eastAsia="lt-LT"/>
              </w:rPr>
              <w:t xml:space="preserve">flat </w:t>
            </w:r>
            <w:r w:rsidRPr="001A57E3">
              <w:rPr>
                <w:lang w:val="en-GB" w:eastAsia="lt-LT"/>
              </w:rPr>
              <w:t>rate of project costs”.</w:t>
            </w:r>
          </w:p>
        </w:tc>
      </w:tr>
      <w:tr w:rsidR="00420065" w:rsidRPr="001A57E3" w:rsidTr="00D43112">
        <w:trPr>
          <w:trHeight w:val="360"/>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065" w:rsidRPr="001A57E3" w:rsidRDefault="00545694">
            <w:pPr>
              <w:spacing w:line="276" w:lineRule="auto"/>
              <w:jc w:val="both"/>
              <w:rPr>
                <w:b/>
                <w:szCs w:val="24"/>
                <w:lang w:val="en-GB" w:eastAsia="lt-LT"/>
              </w:rPr>
            </w:pPr>
            <w:r w:rsidRPr="001A57E3">
              <w:rPr>
                <w:b/>
                <w:lang w:val="en-GB" w:eastAsia="lt-LT"/>
              </w:rPr>
              <w:t>7.</w:t>
            </w:r>
          </w:p>
        </w:tc>
        <w:tc>
          <w:tcPr>
            <w:tcW w:w="2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065" w:rsidRPr="001A57E3" w:rsidRDefault="00D575DF" w:rsidP="00673D89">
            <w:pPr>
              <w:spacing w:line="276" w:lineRule="auto"/>
              <w:rPr>
                <w:b/>
                <w:szCs w:val="24"/>
                <w:lang w:val="en-GB" w:eastAsia="lt-LT"/>
              </w:rPr>
            </w:pPr>
            <w:r w:rsidRPr="001A57E3">
              <w:rPr>
                <w:b/>
                <w:lang w:val="en-GB" w:eastAsia="lt-LT"/>
              </w:rPr>
              <w:t xml:space="preserve">Indirect costs and other costs according to the </w:t>
            </w:r>
            <w:r w:rsidR="00673D89" w:rsidRPr="001A57E3">
              <w:rPr>
                <w:b/>
                <w:lang w:val="en-GB" w:eastAsia="lt-LT"/>
              </w:rPr>
              <w:t xml:space="preserve">flat </w:t>
            </w:r>
            <w:r w:rsidRPr="001A57E3">
              <w:rPr>
                <w:b/>
                <w:lang w:val="en-GB" w:eastAsia="lt-LT"/>
              </w:rPr>
              <w:t>rate.</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tcPr>
          <w:p w:rsidR="00420065" w:rsidRPr="001A57E3" w:rsidRDefault="00D575DF">
            <w:pPr>
              <w:spacing w:line="276" w:lineRule="auto"/>
              <w:rPr>
                <w:rFonts w:eastAsia="Calibri"/>
                <w:szCs w:val="24"/>
                <w:lang w:val="en-GB" w:eastAsia="lt-LT"/>
              </w:rPr>
            </w:pPr>
            <w:r w:rsidRPr="001A57E3">
              <w:rPr>
                <w:lang w:val="en-GB"/>
              </w:rPr>
              <w:t xml:space="preserve">Indirect costs and other direct costs, reimbursed by applying the </w:t>
            </w:r>
            <w:r w:rsidR="00673D89" w:rsidRPr="001A57E3">
              <w:rPr>
                <w:lang w:val="en-GB"/>
              </w:rPr>
              <w:t>flat</w:t>
            </w:r>
            <w:r w:rsidRPr="001A57E3">
              <w:rPr>
                <w:lang w:val="en-GB"/>
              </w:rPr>
              <w:t xml:space="preserve"> rate (</w:t>
            </w:r>
            <w:r w:rsidR="00673D89" w:rsidRPr="001A57E3">
              <w:rPr>
                <w:lang w:val="en-GB"/>
              </w:rPr>
              <w:t>Article</w:t>
            </w:r>
            <w:r w:rsidRPr="001A57E3">
              <w:rPr>
                <w:lang w:val="en-GB"/>
              </w:rPr>
              <w:t xml:space="preserve"> 56.2.1 of the </w:t>
            </w:r>
            <w:r w:rsidR="00EF72E5" w:rsidRPr="001A57E3">
              <w:rPr>
                <w:lang w:val="en-GB"/>
              </w:rPr>
              <w:t>Guidelines</w:t>
            </w:r>
            <w:r w:rsidRPr="001A57E3">
              <w:rPr>
                <w:lang w:val="en-GB"/>
              </w:rPr>
              <w:t>)</w:t>
            </w:r>
            <w:r w:rsidR="00545694" w:rsidRPr="001A57E3">
              <w:rPr>
                <w:rFonts w:eastAsia="Calibri"/>
                <w:lang w:val="en-GB" w:eastAsia="lt-LT"/>
              </w:rPr>
              <w:t>;</w:t>
            </w:r>
          </w:p>
          <w:p w:rsidR="000E16E7" w:rsidRPr="001A57E3" w:rsidRDefault="000E16E7">
            <w:pPr>
              <w:spacing w:line="276" w:lineRule="auto"/>
              <w:rPr>
                <w:lang w:val="en-GB" w:eastAsia="lt-LT"/>
              </w:rPr>
            </w:pPr>
          </w:p>
          <w:p w:rsidR="00420065" w:rsidRPr="001A57E3" w:rsidRDefault="00D575DF">
            <w:pPr>
              <w:spacing w:line="276" w:lineRule="auto"/>
              <w:rPr>
                <w:lang w:val="en-GB" w:eastAsia="lt-LT"/>
              </w:rPr>
            </w:pPr>
            <w:r w:rsidRPr="001A57E3">
              <w:rPr>
                <w:lang w:val="en-GB"/>
              </w:rPr>
              <w:t xml:space="preserve">Expenses relating to the implementation of research and development projects, </w:t>
            </w:r>
            <w:r w:rsidRPr="001A57E3">
              <w:rPr>
                <w:lang w:val="en-GB" w:eastAsia="lt-LT"/>
              </w:rPr>
              <w:t xml:space="preserve">reimbursed by applying the </w:t>
            </w:r>
            <w:r w:rsidR="00673D89" w:rsidRPr="001A57E3">
              <w:rPr>
                <w:lang w:val="en-GB" w:eastAsia="lt-LT"/>
              </w:rPr>
              <w:t xml:space="preserve">flat </w:t>
            </w:r>
            <w:r w:rsidRPr="001A57E3">
              <w:rPr>
                <w:lang w:val="en-GB" w:eastAsia="lt-LT"/>
              </w:rPr>
              <w:t xml:space="preserve">rate </w:t>
            </w:r>
            <w:r w:rsidR="00FC5723" w:rsidRPr="001A57E3">
              <w:rPr>
                <w:lang w:val="en-GB" w:eastAsia="lt-LT"/>
              </w:rPr>
              <w:t>(</w:t>
            </w:r>
            <w:r w:rsidRPr="001A57E3">
              <w:rPr>
                <w:lang w:val="en-GB" w:eastAsia="lt-LT"/>
              </w:rPr>
              <w:t>Sub-</w:t>
            </w:r>
            <w:r w:rsidR="00673D89" w:rsidRPr="001A57E3">
              <w:rPr>
                <w:lang w:val="en-GB" w:eastAsia="lt-LT"/>
              </w:rPr>
              <w:t>Article</w:t>
            </w:r>
            <w:r w:rsidRPr="001A57E3">
              <w:rPr>
                <w:lang w:val="en-GB" w:eastAsia="lt-LT"/>
              </w:rPr>
              <w:t xml:space="preserve"> </w:t>
            </w:r>
            <w:r w:rsidR="00FC5723" w:rsidRPr="001A57E3">
              <w:rPr>
                <w:lang w:val="en-GB" w:eastAsia="lt-LT"/>
              </w:rPr>
              <w:t>5</w:t>
            </w:r>
            <w:r w:rsidR="00F369C8" w:rsidRPr="001A57E3">
              <w:rPr>
                <w:lang w:val="en-GB" w:eastAsia="lt-LT"/>
              </w:rPr>
              <w:t>6</w:t>
            </w:r>
            <w:r w:rsidR="00FC5723" w:rsidRPr="001A57E3">
              <w:rPr>
                <w:lang w:val="en-GB" w:eastAsia="lt-LT"/>
              </w:rPr>
              <w:t xml:space="preserve">.2.2 </w:t>
            </w:r>
            <w:r w:rsidRPr="001A57E3">
              <w:rPr>
                <w:lang w:val="en-GB" w:eastAsia="lt-LT"/>
              </w:rPr>
              <w:t xml:space="preserve">of the </w:t>
            </w:r>
            <w:r w:rsidR="00EF72E5" w:rsidRPr="001A57E3">
              <w:rPr>
                <w:lang w:val="en-GB" w:eastAsia="lt-LT"/>
              </w:rPr>
              <w:t>Guidelines</w:t>
            </w:r>
            <w:r w:rsidR="00FC5723" w:rsidRPr="001A57E3">
              <w:rPr>
                <w:lang w:val="en-GB" w:eastAsia="lt-LT"/>
              </w:rPr>
              <w:t>).</w:t>
            </w:r>
          </w:p>
          <w:p w:rsidR="00420065" w:rsidRPr="001A57E3" w:rsidRDefault="00420065">
            <w:pPr>
              <w:spacing w:line="276" w:lineRule="auto"/>
              <w:rPr>
                <w:rFonts w:eastAsia="Calibri"/>
                <w:szCs w:val="24"/>
                <w:lang w:val="en-GB" w:eastAsia="lt-LT"/>
              </w:rPr>
            </w:pPr>
          </w:p>
        </w:tc>
      </w:tr>
    </w:tbl>
    <w:p w:rsidR="00420065" w:rsidRPr="001A57E3" w:rsidRDefault="00EC2B01">
      <w:pPr>
        <w:ind w:firstLine="709"/>
        <w:jc w:val="both"/>
        <w:rPr>
          <w:lang w:val="en-GB" w:eastAsia="lt-LT"/>
        </w:rPr>
      </w:pPr>
      <w:r w:rsidRPr="001A57E3">
        <w:rPr>
          <w:lang w:val="en-GB"/>
        </w:rPr>
        <w:t>Note. The project budget table in the Application form shall be completed following the Instruction on completing the project budget form provided in the Recommendations regarding the compliance of project expenses with the requirements of structural funds of the European Union</w:t>
      </w:r>
      <w:r w:rsidR="00545694" w:rsidRPr="001A57E3">
        <w:rPr>
          <w:lang w:val="en-GB" w:eastAsia="lt-LT"/>
        </w:rPr>
        <w:t>.</w:t>
      </w:r>
    </w:p>
    <w:p w:rsidR="00420065" w:rsidRPr="001A57E3" w:rsidRDefault="0004285F">
      <w:pPr>
        <w:ind w:firstLine="709"/>
        <w:jc w:val="both"/>
        <w:rPr>
          <w:lang w:val="en-GB" w:eastAsia="lt-LT"/>
        </w:rPr>
      </w:pPr>
      <w:r w:rsidRPr="001A57E3">
        <w:rPr>
          <w:lang w:val="en-GB" w:eastAsia="lt-LT"/>
        </w:rPr>
        <w:t>5</w:t>
      </w:r>
      <w:r w:rsidR="00F369C8" w:rsidRPr="001A57E3">
        <w:rPr>
          <w:lang w:val="en-GB" w:eastAsia="lt-LT"/>
        </w:rPr>
        <w:t>6</w:t>
      </w:r>
      <w:r w:rsidR="00545694" w:rsidRPr="001A57E3">
        <w:rPr>
          <w:lang w:val="en-GB" w:eastAsia="lt-LT"/>
        </w:rPr>
        <w:t xml:space="preserve">. </w:t>
      </w:r>
      <w:r w:rsidR="00EC2B01" w:rsidRPr="001A57E3">
        <w:rPr>
          <w:lang w:val="en-GB" w:eastAsia="lt-LT"/>
        </w:rPr>
        <w:t>Project costs</w:t>
      </w:r>
      <w:r w:rsidR="00545694" w:rsidRPr="001A57E3">
        <w:rPr>
          <w:lang w:val="en-GB" w:eastAsia="lt-LT"/>
        </w:rPr>
        <w:t>:</w:t>
      </w:r>
    </w:p>
    <w:p w:rsidR="00420065" w:rsidRPr="001A57E3" w:rsidRDefault="0004285F">
      <w:pPr>
        <w:ind w:firstLine="709"/>
        <w:jc w:val="both"/>
        <w:rPr>
          <w:lang w:val="en-GB" w:eastAsia="lt-LT"/>
        </w:rPr>
      </w:pPr>
      <w:r w:rsidRPr="001A57E3">
        <w:rPr>
          <w:lang w:val="en-GB" w:eastAsia="lt-LT"/>
        </w:rPr>
        <w:t>5</w:t>
      </w:r>
      <w:r w:rsidR="00F369C8" w:rsidRPr="001A57E3">
        <w:rPr>
          <w:lang w:val="en-GB" w:eastAsia="lt-LT"/>
        </w:rPr>
        <w:t>6</w:t>
      </w:r>
      <w:r w:rsidR="00545694" w:rsidRPr="001A57E3">
        <w:rPr>
          <w:lang w:val="en-GB" w:eastAsia="lt-LT"/>
        </w:rPr>
        <w:t xml:space="preserve">.1. </w:t>
      </w:r>
      <w:proofErr w:type="gramStart"/>
      <w:r w:rsidR="00EC2B01" w:rsidRPr="001A57E3">
        <w:rPr>
          <w:lang w:val="en-GB" w:eastAsia="lt-LT"/>
        </w:rPr>
        <w:t>project</w:t>
      </w:r>
      <w:proofErr w:type="gramEnd"/>
      <w:r w:rsidR="00EC2B01" w:rsidRPr="001A57E3">
        <w:rPr>
          <w:lang w:val="en-GB" w:eastAsia="lt-LT"/>
        </w:rPr>
        <w:t xml:space="preserve"> implementation costs</w:t>
      </w:r>
      <w:r w:rsidR="00545694" w:rsidRPr="001A57E3">
        <w:rPr>
          <w:lang w:val="en-GB" w:eastAsia="lt-LT"/>
        </w:rPr>
        <w:t>:</w:t>
      </w:r>
    </w:p>
    <w:p w:rsidR="00420065" w:rsidRPr="001A57E3" w:rsidRDefault="00545694">
      <w:pPr>
        <w:ind w:firstLine="709"/>
        <w:jc w:val="both"/>
        <w:rPr>
          <w:lang w:val="en-GB" w:eastAsia="lt-LT"/>
        </w:rPr>
      </w:pPr>
      <w:r w:rsidRPr="001A57E3">
        <w:rPr>
          <w:lang w:val="en-GB" w:eastAsia="lt-LT"/>
        </w:rPr>
        <w:t>5</w:t>
      </w:r>
      <w:r w:rsidR="00F369C8" w:rsidRPr="001A57E3">
        <w:rPr>
          <w:lang w:val="en-GB" w:eastAsia="lt-LT"/>
        </w:rPr>
        <w:t>6</w:t>
      </w:r>
      <w:r w:rsidRPr="001A57E3">
        <w:rPr>
          <w:lang w:val="en-GB" w:eastAsia="lt-LT"/>
        </w:rPr>
        <w:t xml:space="preserve">.1.1. </w:t>
      </w:r>
      <w:proofErr w:type="gramStart"/>
      <w:r w:rsidR="00BF33D3" w:rsidRPr="001A57E3">
        <w:rPr>
          <w:lang w:val="en-GB"/>
        </w:rPr>
        <w:t>the</w:t>
      </w:r>
      <w:proofErr w:type="gramEnd"/>
      <w:r w:rsidR="00BF33D3" w:rsidRPr="001A57E3">
        <w:rPr>
          <w:lang w:val="en-GB"/>
        </w:rPr>
        <w:t xml:space="preserve"> expenses relating to the compensation of the staff engaged in the project, and the associated obligations of the employer shall be reimbursed by applying the </w:t>
      </w:r>
      <w:r w:rsidR="00673D89" w:rsidRPr="001A57E3">
        <w:rPr>
          <w:lang w:val="en-GB" w:eastAsia="lt-LT"/>
        </w:rPr>
        <w:t>unit costs</w:t>
      </w:r>
      <w:r w:rsidR="00BF33D3" w:rsidRPr="001A57E3">
        <w:rPr>
          <w:lang w:val="en-GB"/>
        </w:rPr>
        <w:t xml:space="preserve">. The </w:t>
      </w:r>
      <w:r w:rsidR="00673D89" w:rsidRPr="001A57E3">
        <w:rPr>
          <w:lang w:val="en-GB" w:eastAsia="lt-LT"/>
        </w:rPr>
        <w:t xml:space="preserve">unit costs </w:t>
      </w:r>
      <w:r w:rsidR="00BF33D3" w:rsidRPr="001A57E3">
        <w:rPr>
          <w:lang w:val="en-GB"/>
        </w:rPr>
        <w:t xml:space="preserve">are established in accordance with the Report on the determination of </w:t>
      </w:r>
      <w:r w:rsidR="00673D89" w:rsidRPr="001A57E3">
        <w:rPr>
          <w:lang w:val="en-GB" w:eastAsia="lt-LT"/>
        </w:rPr>
        <w:t xml:space="preserve">unit costs </w:t>
      </w:r>
      <w:r w:rsidR="00BF33D3" w:rsidRPr="001A57E3">
        <w:rPr>
          <w:lang w:val="en-GB"/>
        </w:rPr>
        <w:t xml:space="preserve">of compensation in research projects, approved by Order No. V-213 of 13 December 2011 “On the Approval of the Research Report Form for Projects under Measure </w:t>
      </w:r>
      <w:r w:rsidR="00BF33D3" w:rsidRPr="001A57E3">
        <w:rPr>
          <w:lang w:val="en-GB" w:eastAsia="lt-LT"/>
        </w:rPr>
        <w:t xml:space="preserve">VP1-3.1-ŠMM-07-K ‘Support for the Scientific Activities of Scientists and Other Researchers (Public Grant)’ of Priority No. 3 ‘Capacity Building of Researchers’ of the Operational Programme on Human Resource Development of 2007–2013 and the Approval of the </w:t>
      </w:r>
      <w:r w:rsidR="00BF33D3" w:rsidRPr="001A57E3">
        <w:rPr>
          <w:lang w:val="en-GB"/>
        </w:rPr>
        <w:t>Methodology for the Calculation of Fixer Rates of Compensation in Research Projects”</w:t>
      </w:r>
      <w:r w:rsidR="00BF33D3" w:rsidRPr="001A57E3">
        <w:rPr>
          <w:rFonts w:eastAsia="Calibri"/>
          <w:lang w:val="en-GB" w:eastAsia="lt-LT"/>
        </w:rPr>
        <w:t xml:space="preserve"> </w:t>
      </w:r>
      <w:r w:rsidR="007D7150" w:rsidRPr="001A57E3">
        <w:rPr>
          <w:rFonts w:eastAsia="Calibri"/>
          <w:lang w:val="en-GB" w:eastAsia="lt-LT"/>
        </w:rPr>
        <w:t xml:space="preserve">table </w:t>
      </w:r>
      <w:r w:rsidR="00A51E5B" w:rsidRPr="001A57E3">
        <w:rPr>
          <w:rFonts w:eastAsia="Calibri"/>
          <w:lang w:val="en-GB" w:eastAsia="lt-LT"/>
        </w:rPr>
        <w:t xml:space="preserve">11 </w:t>
      </w:r>
      <w:r w:rsidR="007D7150" w:rsidRPr="001A57E3">
        <w:rPr>
          <w:rFonts w:eastAsia="Calibri"/>
          <w:lang w:val="en-GB" w:eastAsia="lt-LT"/>
        </w:rPr>
        <w:t>part</w:t>
      </w:r>
      <w:r w:rsidR="00A51E5B" w:rsidRPr="001A57E3">
        <w:rPr>
          <w:rFonts w:eastAsia="Calibri"/>
          <w:lang w:val="en-GB" w:eastAsia="lt-LT"/>
        </w:rPr>
        <w:t xml:space="preserve"> „</w:t>
      </w:r>
      <w:r w:rsidR="007D7150" w:rsidRPr="001A57E3">
        <w:rPr>
          <w:rFonts w:eastAsia="Calibri"/>
          <w:lang w:val="en-GB" w:eastAsia="lt-LT"/>
        </w:rPr>
        <w:t>Research leader</w:t>
      </w:r>
      <w:r w:rsidR="00A51E5B" w:rsidRPr="001A57E3">
        <w:rPr>
          <w:rFonts w:eastAsia="Calibri"/>
          <w:lang w:val="en-GB" w:eastAsia="lt-LT"/>
        </w:rPr>
        <w:t>“ (</w:t>
      </w:r>
      <w:r w:rsidR="007D7150" w:rsidRPr="001A57E3">
        <w:rPr>
          <w:rFonts w:eastAsia="Calibri"/>
          <w:lang w:val="en-GB" w:eastAsia="lt-LT"/>
        </w:rPr>
        <w:t>applicable to research leader</w:t>
      </w:r>
      <w:r w:rsidR="00A51E5B" w:rsidRPr="001A57E3">
        <w:rPr>
          <w:rFonts w:eastAsia="Calibri"/>
          <w:lang w:val="en-GB" w:eastAsia="lt-LT"/>
        </w:rPr>
        <w:t xml:space="preserve">) </w:t>
      </w:r>
      <w:r w:rsidR="007D7150" w:rsidRPr="001A57E3">
        <w:rPr>
          <w:rFonts w:eastAsia="Calibri"/>
          <w:lang w:val="en-GB" w:eastAsia="lt-LT"/>
        </w:rPr>
        <w:t>and table</w:t>
      </w:r>
      <w:r w:rsidR="00A51E5B" w:rsidRPr="001A57E3">
        <w:rPr>
          <w:rFonts w:eastAsia="Calibri"/>
          <w:lang w:val="en-GB" w:eastAsia="lt-LT"/>
        </w:rPr>
        <w:t xml:space="preserve"> 9 </w:t>
      </w:r>
      <w:r w:rsidR="007D7150" w:rsidRPr="001A57E3">
        <w:rPr>
          <w:rFonts w:eastAsia="Calibri"/>
          <w:lang w:val="en-GB" w:eastAsia="lt-LT"/>
        </w:rPr>
        <w:t>part</w:t>
      </w:r>
      <w:r w:rsidR="00A51E5B" w:rsidRPr="001A57E3">
        <w:rPr>
          <w:rFonts w:eastAsia="Calibri"/>
          <w:lang w:val="en-GB" w:eastAsia="lt-LT"/>
        </w:rPr>
        <w:t xml:space="preserve"> „</w:t>
      </w:r>
      <w:r w:rsidR="007D7150" w:rsidRPr="001A57E3">
        <w:rPr>
          <w:rFonts w:eastAsia="Calibri"/>
          <w:lang w:val="en-GB" w:eastAsia="lt-LT"/>
        </w:rPr>
        <w:t>Member of research group</w:t>
      </w:r>
      <w:r w:rsidR="00A51E5B" w:rsidRPr="001A57E3">
        <w:rPr>
          <w:rFonts w:eastAsia="Calibri"/>
          <w:lang w:val="en-GB" w:eastAsia="lt-LT"/>
        </w:rPr>
        <w:t>“ (</w:t>
      </w:r>
      <w:r w:rsidR="007D7150" w:rsidRPr="001A57E3">
        <w:rPr>
          <w:rFonts w:eastAsia="Calibri"/>
          <w:lang w:val="en-GB" w:eastAsia="lt-LT"/>
        </w:rPr>
        <w:t>applicable to members of research group</w:t>
      </w:r>
      <w:r w:rsidR="00A51E5B" w:rsidRPr="001A57E3">
        <w:rPr>
          <w:rFonts w:eastAsia="Calibri"/>
          <w:lang w:val="en-GB" w:eastAsia="lt-LT"/>
        </w:rPr>
        <w:t xml:space="preserve">) </w:t>
      </w:r>
      <w:r w:rsidR="002010DE" w:rsidRPr="001A57E3">
        <w:rPr>
          <w:rFonts w:eastAsia="Calibri"/>
          <w:lang w:val="en-GB" w:eastAsia="lt-LT"/>
        </w:rPr>
        <w:t>(</w:t>
      </w:r>
      <w:r w:rsidR="00BF33D3" w:rsidRPr="001A57E3">
        <w:rPr>
          <w:rFonts w:eastAsia="Calibri"/>
          <w:lang w:val="en-GB" w:eastAsia="lt-LT"/>
        </w:rPr>
        <w:t xml:space="preserve">the </w:t>
      </w:r>
      <w:r w:rsidR="00BF33D3" w:rsidRPr="001A57E3">
        <w:rPr>
          <w:lang w:val="en-GB"/>
        </w:rPr>
        <w:t xml:space="preserve">report is published on </w:t>
      </w:r>
      <w:hyperlink r:id="rId19" w:history="1">
        <w:r w:rsidR="00BF33D3" w:rsidRPr="001A57E3">
          <w:rPr>
            <w:rStyle w:val="Hyperlink"/>
            <w:lang w:val="en-GB" w:eastAsia="lt-LT"/>
          </w:rPr>
          <w:t>http://www.esinvesticijos.lt/lt/dokumentai/supaprastinti-islaidu-apmokejimo-tyrimai</w:t>
        </w:r>
      </w:hyperlink>
      <w:r w:rsidR="00BF33D3" w:rsidRPr="001A57E3">
        <w:rPr>
          <w:lang w:val="en-GB" w:eastAsia="lt-LT"/>
        </w:rPr>
        <w:t xml:space="preserve"> and on the website of the implementing institution at </w:t>
      </w:r>
      <w:hyperlink r:id="rId20" w:history="1">
        <w:r w:rsidR="00BF33D3" w:rsidRPr="001A57E3">
          <w:rPr>
            <w:rStyle w:val="Hyperlink"/>
            <w:lang w:val="en-GB"/>
          </w:rPr>
          <w:t>www.lmt.lt</w:t>
        </w:r>
      </w:hyperlink>
      <w:r w:rsidR="002010DE" w:rsidRPr="001A57E3">
        <w:rPr>
          <w:rFonts w:eastAsia="Calibri"/>
          <w:lang w:val="en-GB" w:eastAsia="lt-LT"/>
        </w:rPr>
        <w:t>)</w:t>
      </w:r>
      <w:r w:rsidRPr="001A57E3">
        <w:rPr>
          <w:lang w:val="en-GB" w:eastAsia="lt-LT"/>
        </w:rPr>
        <w:t>;</w:t>
      </w:r>
    </w:p>
    <w:p w:rsidR="00CC2045" w:rsidRPr="001A57E3" w:rsidRDefault="00545694" w:rsidP="00820E1C">
      <w:pPr>
        <w:ind w:firstLine="709"/>
        <w:jc w:val="both"/>
        <w:rPr>
          <w:lang w:val="en-GB" w:eastAsia="lt-LT"/>
        </w:rPr>
      </w:pPr>
      <w:r w:rsidRPr="001A57E3">
        <w:rPr>
          <w:lang w:val="en-GB" w:eastAsia="lt-LT"/>
        </w:rPr>
        <w:t>5</w:t>
      </w:r>
      <w:r w:rsidR="00F369C8" w:rsidRPr="001A57E3">
        <w:rPr>
          <w:lang w:val="en-GB" w:eastAsia="lt-LT"/>
        </w:rPr>
        <w:t>6</w:t>
      </w:r>
      <w:r w:rsidRPr="001A57E3">
        <w:rPr>
          <w:lang w:val="en-GB" w:eastAsia="lt-LT"/>
        </w:rPr>
        <w:t xml:space="preserve">.1.2. </w:t>
      </w:r>
      <w:proofErr w:type="gramStart"/>
      <w:r w:rsidR="00BF33D3" w:rsidRPr="001A57E3">
        <w:rPr>
          <w:lang w:val="en-GB" w:eastAsia="lt-LT"/>
        </w:rPr>
        <w:t>the</w:t>
      </w:r>
      <w:proofErr w:type="gramEnd"/>
      <w:r w:rsidR="00BF33D3" w:rsidRPr="001A57E3">
        <w:rPr>
          <w:lang w:val="en-GB" w:eastAsia="lt-LT"/>
        </w:rPr>
        <w:t xml:space="preserve"> </w:t>
      </w:r>
      <w:r w:rsidR="003C0EF8" w:rsidRPr="001A57E3">
        <w:rPr>
          <w:lang w:val="en-GB" w:eastAsia="lt-LT"/>
        </w:rPr>
        <w:t>expenses</w:t>
      </w:r>
      <w:r w:rsidR="00BF33D3" w:rsidRPr="001A57E3">
        <w:rPr>
          <w:lang w:val="en-GB" w:eastAsia="lt-LT"/>
        </w:rPr>
        <w:t xml:space="preserve"> relating to the business trips, traveling and internships of the personnel implementing the project shall be reimbursed by applying the </w:t>
      </w:r>
      <w:r w:rsidR="00673D89" w:rsidRPr="001A57E3">
        <w:rPr>
          <w:lang w:val="en-GB" w:eastAsia="lt-LT"/>
        </w:rPr>
        <w:t>unit costs</w:t>
      </w:r>
      <w:r w:rsidRPr="001A57E3">
        <w:rPr>
          <w:lang w:val="en-GB" w:eastAsia="lt-LT"/>
        </w:rPr>
        <w:t xml:space="preserve">. </w:t>
      </w:r>
      <w:r w:rsidR="00BF33D3" w:rsidRPr="001A57E3">
        <w:rPr>
          <w:lang w:val="en-GB" w:eastAsia="lt-LT"/>
        </w:rPr>
        <w:t xml:space="preserve">The </w:t>
      </w:r>
      <w:r w:rsidR="00673D89" w:rsidRPr="001A57E3">
        <w:rPr>
          <w:lang w:val="en-GB" w:eastAsia="lt-LT"/>
        </w:rPr>
        <w:t xml:space="preserve">unit costs </w:t>
      </w:r>
      <w:r w:rsidR="00BF33D3" w:rsidRPr="001A57E3">
        <w:rPr>
          <w:lang w:val="en-GB" w:eastAsia="lt-LT"/>
        </w:rPr>
        <w:t>are established in acc</w:t>
      </w:r>
      <w:r w:rsidR="003C0EF8" w:rsidRPr="001A57E3">
        <w:rPr>
          <w:lang w:val="en-GB" w:eastAsia="lt-LT"/>
        </w:rPr>
        <w:t xml:space="preserve">ordance with the Report on the Determination of </w:t>
      </w:r>
      <w:r w:rsidR="00673D89" w:rsidRPr="001A57E3">
        <w:rPr>
          <w:lang w:val="en-GB" w:eastAsia="lt-LT"/>
        </w:rPr>
        <w:t xml:space="preserve">Unit Costs </w:t>
      </w:r>
      <w:r w:rsidR="00BF33D3" w:rsidRPr="001A57E3">
        <w:rPr>
          <w:lang w:val="en-GB" w:eastAsia="lt-LT"/>
        </w:rPr>
        <w:t xml:space="preserve">for </w:t>
      </w:r>
      <w:r w:rsidR="003C0EF8" w:rsidRPr="001A57E3">
        <w:rPr>
          <w:lang w:val="en-GB" w:eastAsia="lt-LT"/>
        </w:rPr>
        <w:t xml:space="preserve">Research Trips, approved by Order No. V-191 of the Chair of the Lithuanian Science Council of 06 October 2014 “On the Approval of the Report on the Determination of </w:t>
      </w:r>
      <w:r w:rsidR="00673D89" w:rsidRPr="001A57E3">
        <w:rPr>
          <w:lang w:val="en-GB" w:eastAsia="lt-LT"/>
        </w:rPr>
        <w:t xml:space="preserve">Unit Costs </w:t>
      </w:r>
      <w:r w:rsidR="003C0EF8" w:rsidRPr="001A57E3">
        <w:rPr>
          <w:lang w:val="en-GB" w:eastAsia="lt-LT"/>
        </w:rPr>
        <w:t xml:space="preserve">for Research Trips” (version as of 24 May 2017), published on </w:t>
      </w:r>
      <w:hyperlink r:id="rId21" w:history="1">
        <w:r w:rsidR="003C0EF8" w:rsidRPr="001A57E3">
          <w:rPr>
            <w:rStyle w:val="Hyperlink"/>
            <w:lang w:val="en-GB" w:eastAsia="lt-LT"/>
          </w:rPr>
          <w:t>http://www.esinvesticijos.lt/lt/dokumentai/supaprastinto-islaidu-apmokejimo-tyrimai</w:t>
        </w:r>
      </w:hyperlink>
      <w:r w:rsidR="003C0EF8" w:rsidRPr="001A57E3">
        <w:rPr>
          <w:lang w:val="en-GB" w:eastAsia="lt-LT"/>
        </w:rPr>
        <w:t xml:space="preserve"> and on the website of the implementing institution at</w:t>
      </w:r>
      <w:r w:rsidRPr="001A57E3">
        <w:rPr>
          <w:lang w:val="en-GB"/>
        </w:rPr>
        <w:t xml:space="preserve"> </w:t>
      </w:r>
      <w:hyperlink r:id="rId22" w:history="1">
        <w:r w:rsidR="00CC2045" w:rsidRPr="001A57E3">
          <w:rPr>
            <w:rStyle w:val="Hyperlink"/>
            <w:lang w:val="en-GB"/>
          </w:rPr>
          <w:t>www.lmt.lt</w:t>
        </w:r>
      </w:hyperlink>
      <w:r w:rsidRPr="001A57E3">
        <w:rPr>
          <w:lang w:val="en-GB" w:eastAsia="lt-LT"/>
        </w:rPr>
        <w:t>;</w:t>
      </w:r>
    </w:p>
    <w:p w:rsidR="00566E40" w:rsidRPr="001A57E3" w:rsidRDefault="0004285F" w:rsidP="00D3231F">
      <w:pPr>
        <w:ind w:firstLine="709"/>
        <w:jc w:val="both"/>
        <w:rPr>
          <w:lang w:val="en-GB" w:eastAsia="lt-LT"/>
        </w:rPr>
      </w:pPr>
      <w:r w:rsidRPr="001A57E3">
        <w:rPr>
          <w:lang w:val="en-GB" w:eastAsia="lt-LT"/>
        </w:rPr>
        <w:t>5</w:t>
      </w:r>
      <w:r w:rsidR="00F369C8" w:rsidRPr="001A57E3">
        <w:rPr>
          <w:lang w:val="en-GB" w:eastAsia="lt-LT"/>
        </w:rPr>
        <w:t>6</w:t>
      </w:r>
      <w:r w:rsidR="00566E40" w:rsidRPr="001A57E3">
        <w:rPr>
          <w:lang w:val="en-GB" w:eastAsia="lt-LT"/>
        </w:rPr>
        <w:t>.1.</w:t>
      </w:r>
      <w:r w:rsidR="0025634F" w:rsidRPr="001A57E3">
        <w:rPr>
          <w:lang w:val="en-GB" w:eastAsia="lt-LT"/>
        </w:rPr>
        <w:t>3</w:t>
      </w:r>
      <w:r w:rsidR="00566E40" w:rsidRPr="001A57E3">
        <w:rPr>
          <w:lang w:val="en-GB" w:eastAsia="lt-LT"/>
        </w:rPr>
        <w:t xml:space="preserve">. </w:t>
      </w:r>
      <w:proofErr w:type="gramStart"/>
      <w:r w:rsidR="003C0EF8" w:rsidRPr="001A57E3">
        <w:rPr>
          <w:lang w:val="en-GB" w:eastAsia="lt-LT"/>
        </w:rPr>
        <w:t>the</w:t>
      </w:r>
      <w:proofErr w:type="gramEnd"/>
      <w:r w:rsidR="003C0EF8" w:rsidRPr="001A57E3">
        <w:rPr>
          <w:lang w:val="en-GB" w:eastAsia="lt-LT"/>
        </w:rPr>
        <w:t xml:space="preserve"> expenses relating to the moving of the research leader and the research group members shall be reimbursed by applying the </w:t>
      </w:r>
      <w:r w:rsidR="00673D89" w:rsidRPr="001A57E3">
        <w:rPr>
          <w:lang w:val="en-GB" w:eastAsia="lt-LT"/>
        </w:rPr>
        <w:t>unit costs</w:t>
      </w:r>
      <w:r w:rsidR="0063463B" w:rsidRPr="001A57E3">
        <w:rPr>
          <w:lang w:val="en-GB" w:eastAsia="lt-LT"/>
        </w:rPr>
        <w:t xml:space="preserve">. </w:t>
      </w:r>
      <w:r w:rsidR="003C0EF8" w:rsidRPr="001A57E3">
        <w:rPr>
          <w:lang w:val="en-GB" w:eastAsia="lt-LT"/>
        </w:rPr>
        <w:t xml:space="preserve">The </w:t>
      </w:r>
      <w:r w:rsidR="00673D89" w:rsidRPr="001A57E3">
        <w:rPr>
          <w:lang w:val="en-GB" w:eastAsia="lt-LT"/>
        </w:rPr>
        <w:t xml:space="preserve">unit costs </w:t>
      </w:r>
      <w:r w:rsidR="003C0EF8" w:rsidRPr="001A57E3">
        <w:rPr>
          <w:lang w:val="en-GB" w:eastAsia="lt-LT"/>
        </w:rPr>
        <w:t xml:space="preserve">shall be established in accordance with the Research Report on the Determination of </w:t>
      </w:r>
      <w:r w:rsidR="00673D89" w:rsidRPr="001A57E3">
        <w:rPr>
          <w:lang w:val="en-GB" w:eastAsia="lt-LT"/>
        </w:rPr>
        <w:t xml:space="preserve">Unit Costs </w:t>
      </w:r>
      <w:r w:rsidR="003C0EF8" w:rsidRPr="001A57E3">
        <w:rPr>
          <w:lang w:val="en-GB" w:eastAsia="lt-LT"/>
        </w:rPr>
        <w:t xml:space="preserve">for Moving Costs, approved by Order No. </w:t>
      </w:r>
      <w:proofErr w:type="gramStart"/>
      <w:r w:rsidR="003C0EF8" w:rsidRPr="001A57E3">
        <w:rPr>
          <w:lang w:val="en-GB" w:eastAsia="lt-LT"/>
        </w:rPr>
        <w:t xml:space="preserve">V-199 of 20 October 2014 of the Chair of the Lithuanian Science Council “On the Approval of the Research Report on the Determination of </w:t>
      </w:r>
      <w:r w:rsidR="00673D89" w:rsidRPr="001A57E3">
        <w:rPr>
          <w:lang w:val="en-GB" w:eastAsia="lt-LT"/>
        </w:rPr>
        <w:t xml:space="preserve">Unit Costs </w:t>
      </w:r>
      <w:r w:rsidR="003C0EF8" w:rsidRPr="001A57E3">
        <w:rPr>
          <w:lang w:val="en-GB" w:eastAsia="lt-LT"/>
        </w:rPr>
        <w:t>for Moving Costs”</w:t>
      </w:r>
      <w:r w:rsidR="00A90B65" w:rsidRPr="001A57E3">
        <w:rPr>
          <w:lang w:val="en-GB" w:eastAsia="lt-LT"/>
        </w:rPr>
        <w:t>.</w:t>
      </w:r>
      <w:proofErr w:type="gramEnd"/>
      <w:r w:rsidR="00A90B65" w:rsidRPr="001A57E3">
        <w:rPr>
          <w:lang w:val="en-GB" w:eastAsia="lt-LT"/>
        </w:rPr>
        <w:t xml:space="preserve"> </w:t>
      </w:r>
      <w:r w:rsidR="003C0EF8" w:rsidRPr="001A57E3">
        <w:rPr>
          <w:lang w:val="en-GB" w:eastAsia="lt-LT"/>
        </w:rPr>
        <w:t xml:space="preserve">The report is published on </w:t>
      </w:r>
      <w:hyperlink r:id="rId23" w:history="1">
        <w:r w:rsidR="00D3231F" w:rsidRPr="001A57E3">
          <w:rPr>
            <w:rStyle w:val="Hyperlink"/>
            <w:lang w:val="en-GB" w:eastAsia="lt-LT"/>
          </w:rPr>
          <w:t>http://www.esinvesticijos.lt/lt/dokumentai/supaprastinto-islaidu-apmokejimo-tyrimai</w:t>
        </w:r>
      </w:hyperlink>
      <w:r w:rsidR="00D3231F" w:rsidRPr="001A57E3">
        <w:rPr>
          <w:lang w:val="en-GB"/>
        </w:rPr>
        <w:t xml:space="preserve"> </w:t>
      </w:r>
      <w:r w:rsidR="003C0EF8" w:rsidRPr="001A57E3">
        <w:rPr>
          <w:lang w:val="en-GB" w:eastAsia="lt-LT"/>
        </w:rPr>
        <w:t xml:space="preserve">and on the website of the implementing institution on </w:t>
      </w:r>
      <w:hyperlink r:id="rId24" w:history="1">
        <w:r w:rsidR="006B36D4" w:rsidRPr="001A57E3">
          <w:rPr>
            <w:rStyle w:val="Hyperlink"/>
            <w:lang w:val="en-GB" w:eastAsia="lt-LT"/>
          </w:rPr>
          <w:t>www.lmt.lt</w:t>
        </w:r>
      </w:hyperlink>
      <w:r w:rsidR="00566E40" w:rsidRPr="001A57E3">
        <w:rPr>
          <w:lang w:val="en-GB" w:eastAsia="lt-LT"/>
        </w:rPr>
        <w:t>;</w:t>
      </w:r>
    </w:p>
    <w:p w:rsidR="00420065" w:rsidRPr="001A57E3" w:rsidRDefault="0004285F">
      <w:pPr>
        <w:ind w:firstLine="709"/>
        <w:jc w:val="both"/>
        <w:rPr>
          <w:lang w:val="en-GB" w:eastAsia="lt-LT"/>
        </w:rPr>
      </w:pPr>
      <w:r w:rsidRPr="001A57E3">
        <w:rPr>
          <w:lang w:val="en-GB"/>
        </w:rPr>
        <w:t>5</w:t>
      </w:r>
      <w:r w:rsidR="00F369C8" w:rsidRPr="001A57E3">
        <w:rPr>
          <w:lang w:val="en-GB"/>
        </w:rPr>
        <w:t>6</w:t>
      </w:r>
      <w:r w:rsidR="00545694" w:rsidRPr="001A57E3">
        <w:rPr>
          <w:lang w:val="en-GB"/>
        </w:rPr>
        <w:t xml:space="preserve">.2. </w:t>
      </w:r>
      <w:proofErr w:type="gramStart"/>
      <w:r w:rsidR="003C0EF8" w:rsidRPr="001A57E3">
        <w:rPr>
          <w:lang w:val="en-GB" w:eastAsia="lt-LT"/>
        </w:rPr>
        <w:t>indirect</w:t>
      </w:r>
      <w:proofErr w:type="gramEnd"/>
      <w:r w:rsidR="003C0EF8" w:rsidRPr="001A57E3">
        <w:rPr>
          <w:lang w:val="en-GB" w:eastAsia="lt-LT"/>
        </w:rPr>
        <w:t xml:space="preserve"> costs and other costs according to the </w:t>
      </w:r>
      <w:r w:rsidR="00673D89" w:rsidRPr="001A57E3">
        <w:rPr>
          <w:lang w:val="en-GB" w:eastAsia="lt-LT"/>
        </w:rPr>
        <w:t xml:space="preserve">flat </w:t>
      </w:r>
      <w:r w:rsidR="003C0EF8" w:rsidRPr="001A57E3">
        <w:rPr>
          <w:lang w:val="en-GB" w:eastAsia="lt-LT"/>
        </w:rPr>
        <w:t>rate</w:t>
      </w:r>
      <w:r w:rsidR="00545694" w:rsidRPr="001A57E3">
        <w:rPr>
          <w:lang w:val="en-GB" w:eastAsia="lt-LT"/>
        </w:rPr>
        <w:t>:</w:t>
      </w:r>
    </w:p>
    <w:p w:rsidR="00420065" w:rsidRPr="001A57E3" w:rsidRDefault="0004285F">
      <w:pPr>
        <w:ind w:firstLine="709"/>
        <w:jc w:val="both"/>
        <w:rPr>
          <w:lang w:val="en-GB"/>
        </w:rPr>
      </w:pPr>
      <w:r w:rsidRPr="001A57E3">
        <w:rPr>
          <w:lang w:val="en-GB"/>
        </w:rPr>
        <w:t>5</w:t>
      </w:r>
      <w:r w:rsidR="00F369C8" w:rsidRPr="001A57E3">
        <w:rPr>
          <w:lang w:val="en-GB"/>
        </w:rPr>
        <w:t>6</w:t>
      </w:r>
      <w:r w:rsidR="00545694" w:rsidRPr="001A57E3">
        <w:rPr>
          <w:lang w:val="en-GB"/>
        </w:rPr>
        <w:t xml:space="preserve">.2.1. </w:t>
      </w:r>
      <w:proofErr w:type="gramStart"/>
      <w:r w:rsidR="003C0EF8" w:rsidRPr="001A57E3">
        <w:rPr>
          <w:lang w:val="en-GB"/>
        </w:rPr>
        <w:t>indirect</w:t>
      </w:r>
      <w:proofErr w:type="gramEnd"/>
      <w:r w:rsidR="003C0EF8" w:rsidRPr="001A57E3">
        <w:rPr>
          <w:lang w:val="en-GB"/>
        </w:rPr>
        <w:t xml:space="preserve"> costs shall be reimbursed applying the </w:t>
      </w:r>
      <w:r w:rsidR="00673D89" w:rsidRPr="001A57E3">
        <w:rPr>
          <w:lang w:val="en-GB"/>
        </w:rPr>
        <w:t xml:space="preserve">flat </w:t>
      </w:r>
      <w:r w:rsidR="003C0EF8" w:rsidRPr="001A57E3">
        <w:rPr>
          <w:lang w:val="en-GB"/>
        </w:rPr>
        <w:t>rate of indirect costs according to Sub-</w:t>
      </w:r>
      <w:r w:rsidR="00673D89" w:rsidRPr="001A57E3">
        <w:rPr>
          <w:lang w:val="en-GB"/>
        </w:rPr>
        <w:t>Article</w:t>
      </w:r>
      <w:r w:rsidR="003C0EF8" w:rsidRPr="001A57E3">
        <w:rPr>
          <w:lang w:val="en-GB"/>
        </w:rPr>
        <w:t xml:space="preserve"> 433.1 of the Project Regulations</w:t>
      </w:r>
      <w:r w:rsidR="00545694" w:rsidRPr="001A57E3">
        <w:rPr>
          <w:lang w:val="en-GB"/>
        </w:rPr>
        <w:t>;</w:t>
      </w:r>
    </w:p>
    <w:p w:rsidR="00420065" w:rsidRPr="001A57E3" w:rsidRDefault="0004285F" w:rsidP="00723BD3">
      <w:pPr>
        <w:ind w:firstLine="709"/>
        <w:jc w:val="both"/>
        <w:rPr>
          <w:lang w:val="en-GB"/>
        </w:rPr>
      </w:pPr>
      <w:r w:rsidRPr="001A57E3">
        <w:rPr>
          <w:lang w:val="en-GB"/>
        </w:rPr>
        <w:t>5</w:t>
      </w:r>
      <w:r w:rsidR="00F369C8" w:rsidRPr="001A57E3">
        <w:rPr>
          <w:lang w:val="en-GB"/>
        </w:rPr>
        <w:t>6</w:t>
      </w:r>
      <w:r w:rsidR="00545694" w:rsidRPr="001A57E3">
        <w:rPr>
          <w:lang w:val="en-GB"/>
        </w:rPr>
        <w:t xml:space="preserve">.2.2. </w:t>
      </w:r>
      <w:proofErr w:type="gramStart"/>
      <w:r w:rsidR="003C0EF8" w:rsidRPr="001A57E3">
        <w:rPr>
          <w:lang w:val="en-GB" w:eastAsia="lt-LT"/>
        </w:rPr>
        <w:t>the</w:t>
      </w:r>
      <w:proofErr w:type="gramEnd"/>
      <w:r w:rsidR="003C0EF8" w:rsidRPr="001A57E3">
        <w:rPr>
          <w:lang w:val="en-GB" w:eastAsia="lt-LT"/>
        </w:rPr>
        <w:t xml:space="preserve"> costs of carrying out research and development projects are reimbursed by applying the </w:t>
      </w:r>
      <w:r w:rsidR="00673D89" w:rsidRPr="001A57E3">
        <w:rPr>
          <w:lang w:val="en-GB" w:eastAsia="lt-LT"/>
        </w:rPr>
        <w:t xml:space="preserve">flat </w:t>
      </w:r>
      <w:r w:rsidR="003C0EF8" w:rsidRPr="001A57E3">
        <w:rPr>
          <w:lang w:val="en-GB" w:eastAsia="lt-LT"/>
        </w:rPr>
        <w:t>rate on wages and related expenses of the employer</w:t>
      </w:r>
      <w:r w:rsidR="00545694" w:rsidRPr="001A57E3">
        <w:rPr>
          <w:lang w:val="en-GB"/>
        </w:rPr>
        <w:t xml:space="preserve"> (</w:t>
      </w:r>
      <w:r w:rsidR="00340DBF" w:rsidRPr="001A57E3">
        <w:rPr>
          <w:lang w:val="en-GB"/>
        </w:rPr>
        <w:t xml:space="preserve">the </w:t>
      </w:r>
      <w:r w:rsidR="00673D89" w:rsidRPr="001A57E3">
        <w:rPr>
          <w:lang w:val="en-GB"/>
        </w:rPr>
        <w:t xml:space="preserve">flat </w:t>
      </w:r>
      <w:r w:rsidR="001D610E" w:rsidRPr="001A57E3">
        <w:rPr>
          <w:lang w:val="en-GB"/>
        </w:rPr>
        <w:t xml:space="preserve">rate is established on the basis of the Report on the survey for the determining </w:t>
      </w:r>
      <w:r w:rsidR="00673D89" w:rsidRPr="001A57E3">
        <w:rPr>
          <w:lang w:val="en-GB"/>
        </w:rPr>
        <w:t xml:space="preserve">flat </w:t>
      </w:r>
      <w:r w:rsidR="001D610E" w:rsidRPr="001A57E3">
        <w:rPr>
          <w:lang w:val="en-GB"/>
        </w:rPr>
        <w:t xml:space="preserve">rate of the expenses in implementing research and development projects, approved by Order No. V-162 of the Chairman of the Research Council of Lithuania on 13 June 2016 “On the approval of the Report on the survey for the determining flat rate of the expenses in implementing research and development projects” and published at </w:t>
      </w:r>
      <w:hyperlink r:id="rId25" w:history="1">
        <w:r w:rsidR="001D610E" w:rsidRPr="001A57E3">
          <w:rPr>
            <w:rStyle w:val="Hyperlink"/>
            <w:lang w:val="en-GB"/>
          </w:rPr>
          <w:t>http://www.esinvesticijos.lt/lt/dokumentai/supaprastinto-islaidu-apmokejimo-tyrimai</w:t>
        </w:r>
      </w:hyperlink>
      <w:r w:rsidR="001D610E" w:rsidRPr="001A57E3">
        <w:rPr>
          <w:rStyle w:val="Hyperlink"/>
          <w:color w:val="000000"/>
          <w:lang w:val="en-GB"/>
        </w:rPr>
        <w:t xml:space="preserve"> </w:t>
      </w:r>
      <w:r w:rsidR="001D610E" w:rsidRPr="001A57E3">
        <w:rPr>
          <w:lang w:val="en-GB"/>
        </w:rPr>
        <w:t xml:space="preserve">and the internet of the Implementing authority at </w:t>
      </w:r>
      <w:hyperlink r:id="rId26" w:history="1">
        <w:r w:rsidR="001D610E" w:rsidRPr="001A57E3">
          <w:rPr>
            <w:rStyle w:val="Hyperlink"/>
            <w:lang w:val="en-GB"/>
          </w:rPr>
          <w:t>www.lmt.lt</w:t>
        </w:r>
      </w:hyperlink>
      <w:r w:rsidR="001D610E" w:rsidRPr="001A57E3">
        <w:rPr>
          <w:lang w:val="en-GB" w:eastAsia="lt-LT"/>
        </w:rPr>
        <w:t>)</w:t>
      </w:r>
      <w:r w:rsidR="006B36D4" w:rsidRPr="001A57E3">
        <w:rPr>
          <w:lang w:val="en-GB" w:eastAsia="lt-LT"/>
        </w:rPr>
        <w:t>.</w:t>
      </w:r>
    </w:p>
    <w:p w:rsidR="00420065" w:rsidRPr="001A57E3" w:rsidRDefault="0004285F">
      <w:pPr>
        <w:ind w:firstLine="709"/>
        <w:jc w:val="both"/>
        <w:rPr>
          <w:lang w:val="en-GB" w:eastAsia="lt-LT"/>
        </w:rPr>
      </w:pPr>
      <w:r w:rsidRPr="001A57E3">
        <w:rPr>
          <w:lang w:val="en-GB" w:eastAsia="lt-LT"/>
        </w:rPr>
        <w:t>5</w:t>
      </w:r>
      <w:r w:rsidR="000B0913" w:rsidRPr="001A57E3">
        <w:rPr>
          <w:lang w:val="en-GB" w:eastAsia="lt-LT"/>
        </w:rPr>
        <w:t>7</w:t>
      </w:r>
      <w:r w:rsidR="00545694" w:rsidRPr="001A57E3">
        <w:rPr>
          <w:lang w:val="en-GB" w:eastAsia="lt-LT"/>
        </w:rPr>
        <w:t xml:space="preserve">. </w:t>
      </w:r>
      <w:r w:rsidR="00C8638B" w:rsidRPr="001A57E3">
        <w:rPr>
          <w:lang w:val="en-GB"/>
        </w:rPr>
        <w:t xml:space="preserve">The costs reimbursed at unit costs and flat rate specified in Article 56 of the </w:t>
      </w:r>
      <w:r w:rsidR="00EF72E5" w:rsidRPr="001A57E3">
        <w:rPr>
          <w:lang w:val="en-GB"/>
        </w:rPr>
        <w:t>Guidelines</w:t>
      </w:r>
      <w:r w:rsidR="00C8638B" w:rsidRPr="001A57E3">
        <w:rPr>
          <w:lang w:val="en-GB"/>
        </w:rPr>
        <w:t xml:space="preserve"> shall comply with the following provisions</w:t>
      </w:r>
      <w:r w:rsidR="00545694" w:rsidRPr="001A57E3">
        <w:rPr>
          <w:lang w:val="en-GB" w:eastAsia="lt-LT"/>
        </w:rPr>
        <w:t>:</w:t>
      </w:r>
    </w:p>
    <w:p w:rsidR="00420065" w:rsidRPr="001A57E3" w:rsidRDefault="00A20C9C">
      <w:pPr>
        <w:ind w:firstLine="709"/>
        <w:jc w:val="both"/>
        <w:rPr>
          <w:lang w:val="en-GB" w:eastAsia="lt-LT"/>
        </w:rPr>
      </w:pPr>
      <w:r w:rsidRPr="001A57E3">
        <w:rPr>
          <w:lang w:val="en-GB" w:eastAsia="lt-LT"/>
        </w:rPr>
        <w:t>5</w:t>
      </w:r>
      <w:r w:rsidR="000B0913" w:rsidRPr="001A57E3">
        <w:rPr>
          <w:lang w:val="en-GB" w:eastAsia="lt-LT"/>
        </w:rPr>
        <w:t>7</w:t>
      </w:r>
      <w:r w:rsidR="00545694" w:rsidRPr="001A57E3">
        <w:rPr>
          <w:lang w:val="en-GB" w:eastAsia="lt-LT"/>
        </w:rPr>
        <w:t xml:space="preserve">.1. </w:t>
      </w:r>
      <w:proofErr w:type="gramStart"/>
      <w:r w:rsidR="00C8638B" w:rsidRPr="001A57E3">
        <w:rPr>
          <w:lang w:val="en-GB"/>
        </w:rPr>
        <w:t>the</w:t>
      </w:r>
      <w:proofErr w:type="gramEnd"/>
      <w:r w:rsidR="00C8638B" w:rsidRPr="001A57E3">
        <w:rPr>
          <w:lang w:val="en-GB"/>
        </w:rPr>
        <w:t xml:space="preserve"> costs reimbursed at unit costs and flat rate must comply with the provisions of Section 35 of the Project Regulations</w:t>
      </w:r>
      <w:r w:rsidR="00545694" w:rsidRPr="001A57E3">
        <w:rPr>
          <w:lang w:val="en-GB" w:eastAsia="lt-LT"/>
        </w:rPr>
        <w:t>;</w:t>
      </w:r>
    </w:p>
    <w:p w:rsidR="00420065" w:rsidRPr="001A57E3" w:rsidRDefault="00A20C9C" w:rsidP="00AF357C">
      <w:pPr>
        <w:ind w:firstLine="709"/>
        <w:jc w:val="both"/>
        <w:rPr>
          <w:shd w:val="clear" w:color="auto" w:fill="FFFFFF"/>
          <w:lang w:val="en-GB"/>
        </w:rPr>
      </w:pPr>
      <w:r w:rsidRPr="001A57E3">
        <w:rPr>
          <w:lang w:val="en-GB" w:eastAsia="lt-LT"/>
        </w:rPr>
        <w:t>5</w:t>
      </w:r>
      <w:r w:rsidR="000B0913" w:rsidRPr="001A57E3">
        <w:rPr>
          <w:lang w:val="en-GB" w:eastAsia="lt-LT"/>
        </w:rPr>
        <w:t>7</w:t>
      </w:r>
      <w:r w:rsidR="00545694" w:rsidRPr="001A57E3">
        <w:rPr>
          <w:shd w:val="clear" w:color="auto" w:fill="FFFFFF"/>
          <w:lang w:val="en-GB"/>
        </w:rPr>
        <w:t xml:space="preserve">.2. </w:t>
      </w:r>
      <w:proofErr w:type="gramStart"/>
      <w:r w:rsidR="00C8638B" w:rsidRPr="001A57E3">
        <w:rPr>
          <w:lang w:val="en-GB"/>
        </w:rPr>
        <w:t>an</w:t>
      </w:r>
      <w:proofErr w:type="gramEnd"/>
      <w:r w:rsidR="00C8638B" w:rsidRPr="001A57E3">
        <w:rPr>
          <w:lang w:val="en-GB"/>
        </w:rPr>
        <w:t xml:space="preserve"> applicant shall have a right to provide in the Application the unit costs lower than the maximum values indicated in the </w:t>
      </w:r>
      <w:r w:rsidR="00EF72E5" w:rsidRPr="001A57E3">
        <w:rPr>
          <w:lang w:val="en-GB"/>
        </w:rPr>
        <w:t>Guidelines</w:t>
      </w:r>
      <w:r w:rsidR="00AF357C" w:rsidRPr="001A57E3">
        <w:rPr>
          <w:shd w:val="clear" w:color="auto" w:fill="FFFFFF"/>
          <w:lang w:val="en-GB"/>
        </w:rPr>
        <w:t>.</w:t>
      </w:r>
    </w:p>
    <w:p w:rsidR="00420065" w:rsidRPr="001A57E3" w:rsidRDefault="00A20C9C">
      <w:pPr>
        <w:ind w:firstLine="709"/>
        <w:jc w:val="both"/>
        <w:rPr>
          <w:shd w:val="clear" w:color="auto" w:fill="FFFFFF"/>
          <w:lang w:val="en-GB"/>
        </w:rPr>
      </w:pPr>
      <w:r w:rsidRPr="001A57E3">
        <w:rPr>
          <w:shd w:val="clear" w:color="auto" w:fill="FFFFFF"/>
          <w:lang w:val="en-GB"/>
        </w:rPr>
        <w:t>5</w:t>
      </w:r>
      <w:r w:rsidR="000B0913" w:rsidRPr="001A57E3">
        <w:rPr>
          <w:shd w:val="clear" w:color="auto" w:fill="FFFFFF"/>
          <w:lang w:val="en-GB"/>
        </w:rPr>
        <w:t>8</w:t>
      </w:r>
      <w:r w:rsidR="00545694" w:rsidRPr="001A57E3">
        <w:rPr>
          <w:shd w:val="clear" w:color="auto" w:fill="FFFFFF"/>
          <w:lang w:val="en-GB"/>
        </w:rPr>
        <w:t xml:space="preserve">. </w:t>
      </w:r>
      <w:r w:rsidR="00673D89" w:rsidRPr="001A57E3">
        <w:rPr>
          <w:shd w:val="clear" w:color="auto" w:fill="FFFFFF"/>
          <w:lang w:val="en-GB"/>
        </w:rPr>
        <w:t>The project is subject to unit costs and flat rates valid at the time of publishing the call for applications, applicable throughout the project implementation period and may not be amended during the implementation of the project.</w:t>
      </w:r>
    </w:p>
    <w:p w:rsidR="00420065" w:rsidRPr="001A57E3" w:rsidRDefault="000B0913">
      <w:pPr>
        <w:ind w:firstLine="709"/>
        <w:jc w:val="both"/>
        <w:rPr>
          <w:shd w:val="clear" w:color="auto" w:fill="FFFFFF"/>
          <w:lang w:val="en-GB"/>
        </w:rPr>
      </w:pPr>
      <w:r w:rsidRPr="001A57E3">
        <w:rPr>
          <w:shd w:val="clear" w:color="auto" w:fill="FFFFFF"/>
          <w:lang w:val="en-GB"/>
        </w:rPr>
        <w:t>59</w:t>
      </w:r>
      <w:r w:rsidR="00545694" w:rsidRPr="001A57E3">
        <w:rPr>
          <w:shd w:val="clear" w:color="auto" w:fill="FFFFFF"/>
          <w:lang w:val="en-GB"/>
        </w:rPr>
        <w:t xml:space="preserve">. </w:t>
      </w:r>
      <w:r w:rsidR="00C8638B" w:rsidRPr="001A57E3">
        <w:rPr>
          <w:lang w:val="en-GB"/>
        </w:rPr>
        <w:t>The ineligible costs are specified in Section 34 of the Project Regulations</w:t>
      </w:r>
      <w:r w:rsidR="00545694" w:rsidRPr="001A57E3">
        <w:rPr>
          <w:shd w:val="clear" w:color="auto" w:fill="FFFFFF"/>
          <w:lang w:val="en-GB"/>
        </w:rPr>
        <w:t>.</w:t>
      </w:r>
    </w:p>
    <w:p w:rsidR="00420065" w:rsidRPr="001A57E3" w:rsidRDefault="000B0913">
      <w:pPr>
        <w:ind w:firstLine="709"/>
        <w:jc w:val="both"/>
        <w:rPr>
          <w:lang w:val="en-GB" w:eastAsia="lt-LT"/>
        </w:rPr>
      </w:pPr>
      <w:r w:rsidRPr="001A57E3">
        <w:rPr>
          <w:lang w:val="en-GB" w:eastAsia="lt-LT"/>
        </w:rPr>
        <w:t>60</w:t>
      </w:r>
      <w:r w:rsidR="00545694" w:rsidRPr="001A57E3">
        <w:rPr>
          <w:lang w:val="en-GB" w:eastAsia="lt-LT"/>
        </w:rPr>
        <w:t xml:space="preserve">. </w:t>
      </w:r>
      <w:r w:rsidR="00C8638B" w:rsidRPr="001A57E3">
        <w:rPr>
          <w:lang w:val="en-GB"/>
        </w:rPr>
        <w:t>Application costs and cross-financing costs are not eligible</w:t>
      </w:r>
      <w:r w:rsidR="00545694" w:rsidRPr="001A57E3">
        <w:rPr>
          <w:lang w:val="en-GB" w:eastAsia="lt-LT"/>
        </w:rPr>
        <w:t>.</w:t>
      </w:r>
    </w:p>
    <w:p w:rsidR="00420065" w:rsidRPr="001A57E3" w:rsidRDefault="00A20C9C">
      <w:pPr>
        <w:ind w:firstLine="709"/>
        <w:jc w:val="both"/>
        <w:rPr>
          <w:lang w:val="en-GB"/>
        </w:rPr>
      </w:pPr>
      <w:r w:rsidRPr="001A57E3">
        <w:rPr>
          <w:lang w:val="en-GB"/>
        </w:rPr>
        <w:t>6</w:t>
      </w:r>
      <w:r w:rsidR="000B0913" w:rsidRPr="001A57E3">
        <w:rPr>
          <w:lang w:val="en-GB"/>
        </w:rPr>
        <w:t>1</w:t>
      </w:r>
      <w:r w:rsidR="00545694" w:rsidRPr="001A57E3">
        <w:rPr>
          <w:lang w:val="en-GB"/>
        </w:rPr>
        <w:t xml:space="preserve">. </w:t>
      </w:r>
      <w:r w:rsidR="00C8638B" w:rsidRPr="001A57E3">
        <w:rPr>
          <w:lang w:val="en-GB"/>
        </w:rPr>
        <w:t xml:space="preserve">project implementation costs are reimbursed by way of compensating the expenses, having regard to the unit costs set forth in the Grant Agreement and the other submitted document evidencing the achieved results </w:t>
      </w:r>
      <w:r w:rsidR="00A90B65" w:rsidRPr="001A57E3">
        <w:rPr>
          <w:lang w:val="en-GB"/>
        </w:rPr>
        <w:t>(t. y.,</w:t>
      </w:r>
      <w:r w:rsidR="00545694" w:rsidRPr="001A57E3">
        <w:rPr>
          <w:lang w:val="en-GB"/>
        </w:rPr>
        <w:t xml:space="preserve"> </w:t>
      </w:r>
      <w:r w:rsidR="00C8638B" w:rsidRPr="001A57E3">
        <w:rPr>
          <w:lang w:val="en-GB"/>
        </w:rPr>
        <w:t xml:space="preserve">a summary certificate on the calculation of the expenses indicated in Row 5 of Table 2 of the </w:t>
      </w:r>
      <w:r w:rsidR="00EF72E5" w:rsidRPr="001A57E3">
        <w:rPr>
          <w:lang w:val="en-GB"/>
        </w:rPr>
        <w:t>Guidelines</w:t>
      </w:r>
      <w:r w:rsidR="00C8638B" w:rsidRPr="001A57E3">
        <w:rPr>
          <w:lang w:val="en-GB"/>
        </w:rPr>
        <w:t xml:space="preserve"> by applying the </w:t>
      </w:r>
      <w:r w:rsidR="00673D89" w:rsidRPr="001A57E3">
        <w:rPr>
          <w:lang w:val="en-GB" w:eastAsia="lt-LT"/>
        </w:rPr>
        <w:t xml:space="preserve">unit costs </w:t>
      </w:r>
      <w:r w:rsidR="00C8638B" w:rsidRPr="001A57E3">
        <w:rPr>
          <w:lang w:val="en-GB"/>
        </w:rPr>
        <w:t>and the documents certifying the attainment of a physical operating indicator)</w:t>
      </w:r>
      <w:r w:rsidR="00545694" w:rsidRPr="001A57E3">
        <w:rPr>
          <w:lang w:val="en-GB"/>
        </w:rPr>
        <w:t xml:space="preserve">. </w:t>
      </w:r>
      <w:r w:rsidR="00C8638B" w:rsidRPr="001A57E3">
        <w:rPr>
          <w:lang w:val="en-GB"/>
        </w:rPr>
        <w:t>The documents to be submitted are specified in the Grant Agreement</w:t>
      </w:r>
      <w:r w:rsidR="00545694" w:rsidRPr="001A57E3">
        <w:rPr>
          <w:lang w:val="en-GB"/>
        </w:rPr>
        <w:t>.</w:t>
      </w:r>
      <w:r w:rsidR="00A51E5B" w:rsidRPr="001A57E3">
        <w:t xml:space="preserve"> </w:t>
      </w:r>
      <w:r w:rsidR="0069315D" w:rsidRPr="001A57E3">
        <w:rPr>
          <w:lang w:val="en"/>
        </w:rPr>
        <w:t xml:space="preserve">In case it is determined by the managing or audit authority in the course of implementation of the project that the </w:t>
      </w:r>
      <w:r w:rsidR="001078E2" w:rsidRPr="001A57E3">
        <w:rPr>
          <w:lang w:val="en"/>
        </w:rPr>
        <w:t>unit cost</w:t>
      </w:r>
      <w:r w:rsidR="0069315D" w:rsidRPr="001A57E3">
        <w:rPr>
          <w:lang w:val="en"/>
        </w:rPr>
        <w:t xml:space="preserve"> / </w:t>
      </w:r>
      <w:r w:rsidR="000F5262" w:rsidRPr="001A57E3">
        <w:rPr>
          <w:lang w:val="en"/>
        </w:rPr>
        <w:t>lump sum</w:t>
      </w:r>
      <w:r w:rsidR="0069315D" w:rsidRPr="001A57E3">
        <w:rPr>
          <w:lang w:val="en"/>
        </w:rPr>
        <w:t xml:space="preserve"> / </w:t>
      </w:r>
      <w:r w:rsidR="001078E2" w:rsidRPr="001A57E3">
        <w:rPr>
          <w:lang w:val="en"/>
        </w:rPr>
        <w:t>flat rate</w:t>
      </w:r>
      <w:r w:rsidR="0069315D" w:rsidRPr="001A57E3">
        <w:rPr>
          <w:lang w:val="en"/>
        </w:rPr>
        <w:t xml:space="preserve"> has not been set correctly, the revised value or conditions for its application apply to the </w:t>
      </w:r>
      <w:r w:rsidR="000F5262" w:rsidRPr="001A57E3">
        <w:rPr>
          <w:lang w:val="en"/>
        </w:rPr>
        <w:t>expenses</w:t>
      </w:r>
      <w:r w:rsidR="0069315D" w:rsidRPr="001A57E3">
        <w:rPr>
          <w:lang w:val="en"/>
        </w:rPr>
        <w:t xml:space="preserve"> of the project activities carried out from the date of entry into force of the </w:t>
      </w:r>
      <w:r w:rsidR="0081682E" w:rsidRPr="001A57E3">
        <w:rPr>
          <w:lang w:val="en"/>
        </w:rPr>
        <w:t>revision of the value</w:t>
      </w:r>
      <w:r w:rsidR="0069315D" w:rsidRPr="001A57E3">
        <w:rPr>
          <w:lang w:val="en"/>
        </w:rPr>
        <w:t xml:space="preserve"> or the conditions for its application.</w:t>
      </w:r>
    </w:p>
    <w:p w:rsidR="00420065" w:rsidRPr="001A57E3" w:rsidRDefault="00A20C9C">
      <w:pPr>
        <w:ind w:firstLine="709"/>
        <w:jc w:val="both"/>
        <w:rPr>
          <w:lang w:val="en-GB" w:eastAsia="lt-LT"/>
        </w:rPr>
      </w:pPr>
      <w:r w:rsidRPr="001A57E3">
        <w:rPr>
          <w:lang w:val="en-GB" w:eastAsia="lt-LT"/>
        </w:rPr>
        <w:t>6</w:t>
      </w:r>
      <w:r w:rsidR="000B0913" w:rsidRPr="001A57E3">
        <w:rPr>
          <w:lang w:val="en-GB" w:eastAsia="lt-LT"/>
        </w:rPr>
        <w:t>2</w:t>
      </w:r>
      <w:r w:rsidR="00545694" w:rsidRPr="001A57E3">
        <w:rPr>
          <w:lang w:val="en-GB" w:eastAsia="lt-LT"/>
        </w:rPr>
        <w:t xml:space="preserve">. </w:t>
      </w:r>
      <w:r w:rsidR="00C8638B" w:rsidRPr="001A57E3">
        <w:rPr>
          <w:lang w:val="en-GB"/>
        </w:rPr>
        <w:t>In case any income was generated as a result of the project implementation, such income shall be estimated and recovered no later than with the last payment request in the manner set forth in Articles 447 and 448 of the Project Regulations</w:t>
      </w:r>
      <w:r w:rsidR="00545694" w:rsidRPr="001A57E3">
        <w:rPr>
          <w:lang w:val="en-GB" w:eastAsia="lt-LT"/>
        </w:rPr>
        <w:t>.</w:t>
      </w:r>
    </w:p>
    <w:p w:rsidR="00420065" w:rsidRPr="001A57E3" w:rsidRDefault="00420065">
      <w:pPr>
        <w:rPr>
          <w:lang w:val="en-GB" w:eastAsia="lt-LT"/>
        </w:rPr>
      </w:pPr>
    </w:p>
    <w:p w:rsidR="00420065" w:rsidRPr="001A57E3" w:rsidRDefault="00673D89">
      <w:pPr>
        <w:jc w:val="center"/>
        <w:rPr>
          <w:b/>
          <w:szCs w:val="24"/>
          <w:lang w:val="en-GB" w:eastAsia="lt-LT"/>
        </w:rPr>
      </w:pPr>
      <w:r w:rsidRPr="001A57E3">
        <w:rPr>
          <w:b/>
          <w:lang w:val="en-GB"/>
        </w:rPr>
        <w:t>CHAPTER V</w:t>
      </w:r>
    </w:p>
    <w:p w:rsidR="00420065" w:rsidRPr="001A57E3" w:rsidRDefault="00673D89" w:rsidP="00673D89">
      <w:pPr>
        <w:pStyle w:val="Heading1"/>
        <w:spacing w:before="120" w:after="120"/>
      </w:pPr>
      <w:r w:rsidRPr="001A57E3">
        <w:t>DRAWING UP OF APPLICATIONS, INFORMATION OF APPLICANTS, CONSULTATION, SUBMISSION AND EXAMINATION OF APPLICATIONS</w:t>
      </w:r>
    </w:p>
    <w:p w:rsidR="00420065" w:rsidRPr="001A57E3" w:rsidRDefault="00611BBF">
      <w:pPr>
        <w:ind w:firstLine="709"/>
        <w:jc w:val="both"/>
        <w:rPr>
          <w:lang w:val="en-GB"/>
        </w:rPr>
      </w:pPr>
      <w:r w:rsidRPr="001A57E3">
        <w:rPr>
          <w:lang w:val="en-GB"/>
        </w:rPr>
        <w:t>6</w:t>
      </w:r>
      <w:r w:rsidR="00226BC0" w:rsidRPr="001A57E3">
        <w:rPr>
          <w:lang w:val="en-GB"/>
        </w:rPr>
        <w:t>3</w:t>
      </w:r>
      <w:r w:rsidR="00545694" w:rsidRPr="001A57E3">
        <w:rPr>
          <w:lang w:val="en-GB"/>
        </w:rPr>
        <w:t xml:space="preserve">. </w:t>
      </w:r>
      <w:r w:rsidR="00673D89" w:rsidRPr="001A57E3">
        <w:rPr>
          <w:lang w:val="en-GB"/>
        </w:rPr>
        <w:t xml:space="preserve">In order to receive funding an Applicant must fill in an application. A partly completed form in PDF format is available at the </w:t>
      </w:r>
      <w:r w:rsidR="00673D89" w:rsidRPr="001A57E3">
        <w:rPr>
          <w:cs/>
          <w:lang w:val="en-GB"/>
        </w:rPr>
        <w:t>‘</w:t>
      </w:r>
      <w:r w:rsidR="00673D89" w:rsidRPr="001A57E3">
        <w:rPr>
          <w:lang w:val="en-GB"/>
        </w:rPr>
        <w:t>Related documents</w:t>
      </w:r>
      <w:r w:rsidR="00673D89" w:rsidRPr="001A57E3">
        <w:rPr>
          <w:cs/>
          <w:lang w:val="en-GB"/>
        </w:rPr>
        <w:t xml:space="preserve">’ </w:t>
      </w:r>
      <w:r w:rsidR="00673D89" w:rsidRPr="001A57E3">
        <w:rPr>
          <w:lang w:val="en-GB"/>
        </w:rPr>
        <w:t xml:space="preserve">part of Section </w:t>
      </w:r>
      <w:r w:rsidR="00673D89" w:rsidRPr="001A57E3">
        <w:rPr>
          <w:cs/>
          <w:lang w:val="en-GB"/>
        </w:rPr>
        <w:t>‘</w:t>
      </w:r>
      <w:r w:rsidR="00673D89" w:rsidRPr="001A57E3">
        <w:rPr>
          <w:lang w:val="en-GB"/>
        </w:rPr>
        <w:t>Financing</w:t>
      </w:r>
      <w:r w:rsidR="00673D89" w:rsidRPr="001A57E3">
        <w:rPr>
          <w:cs/>
          <w:lang w:val="en-GB"/>
        </w:rPr>
        <w:t xml:space="preserve">’ </w:t>
      </w:r>
      <w:r w:rsidR="00673D89" w:rsidRPr="001A57E3">
        <w:rPr>
          <w:lang w:val="en-GB"/>
        </w:rPr>
        <w:t>of the EU structural funds</w:t>
      </w:r>
      <w:r w:rsidR="00673D89" w:rsidRPr="001A57E3">
        <w:rPr>
          <w:cs/>
          <w:lang w:val="en-GB"/>
        </w:rPr>
        <w:t xml:space="preserve">’ </w:t>
      </w:r>
      <w:r w:rsidR="00673D89" w:rsidRPr="001A57E3">
        <w:rPr>
          <w:lang w:val="en-GB"/>
        </w:rPr>
        <w:t xml:space="preserve">website </w:t>
      </w:r>
      <w:hyperlink r:id="rId27" w:history="1">
        <w:r w:rsidR="00673D89" w:rsidRPr="001A57E3">
          <w:rPr>
            <w:u w:val="single"/>
            <w:lang w:val="en-GB"/>
          </w:rPr>
          <w:t>www.esinvesticijos.lt</w:t>
        </w:r>
      </w:hyperlink>
      <w:r w:rsidR="00673D89" w:rsidRPr="001A57E3">
        <w:rPr>
          <w:lang w:val="en-GB"/>
        </w:rPr>
        <w:t>.</w:t>
      </w:r>
    </w:p>
    <w:p w:rsidR="00420065" w:rsidRPr="001A57E3" w:rsidRDefault="00611BBF">
      <w:pPr>
        <w:ind w:firstLine="709"/>
        <w:jc w:val="both"/>
        <w:rPr>
          <w:lang w:val="en-GB" w:eastAsia="lt-LT"/>
        </w:rPr>
      </w:pPr>
      <w:r w:rsidRPr="001A57E3">
        <w:rPr>
          <w:lang w:val="en-GB" w:eastAsia="lt-LT"/>
        </w:rPr>
        <w:t>6</w:t>
      </w:r>
      <w:r w:rsidR="00226BC0" w:rsidRPr="001A57E3">
        <w:rPr>
          <w:lang w:val="en-GB" w:eastAsia="lt-LT"/>
        </w:rPr>
        <w:t>4</w:t>
      </w:r>
      <w:r w:rsidR="00545694" w:rsidRPr="001A57E3">
        <w:rPr>
          <w:lang w:val="en-GB" w:eastAsia="lt-LT"/>
        </w:rPr>
        <w:t xml:space="preserve">. </w:t>
      </w:r>
      <w:r w:rsidR="00673D89" w:rsidRPr="001A57E3">
        <w:rPr>
          <w:lang w:val="en-GB"/>
        </w:rPr>
        <w:t xml:space="preserve">The Applicant shall complete the application and shall submit together with the Annexes referred to in Article 69 of the </w:t>
      </w:r>
      <w:r w:rsidR="00EF72E5" w:rsidRPr="001A57E3">
        <w:rPr>
          <w:lang w:val="en-GB"/>
        </w:rPr>
        <w:t>Guidelines</w:t>
      </w:r>
      <w:r w:rsidR="00673D89" w:rsidRPr="001A57E3">
        <w:rPr>
          <w:lang w:val="en-GB"/>
        </w:rPr>
        <w:t xml:space="preserve"> by the last day of the term for the submission of applications to the website on the exchange of data of projects co-funded from the European Union structural funds (hereinafter</w:t>
      </w:r>
      <w:r w:rsidR="00673D89" w:rsidRPr="001A57E3">
        <w:rPr>
          <w:cs/>
          <w:lang w:val="en-GB"/>
        </w:rPr>
        <w:t>—</w:t>
      </w:r>
      <w:r w:rsidR="00673D89" w:rsidRPr="001A57E3">
        <w:rPr>
          <w:lang w:val="en-GB"/>
        </w:rPr>
        <w:t>DMS), and in case the functionalities of the DMS are not implemented</w:t>
      </w:r>
      <w:r w:rsidR="00123501" w:rsidRPr="001A57E3">
        <w:rPr>
          <w:lang w:val="en-GB"/>
        </w:rPr>
        <w:t>—</w:t>
      </w:r>
      <w:r w:rsidR="00673D89" w:rsidRPr="001A57E3">
        <w:rPr>
          <w:lang w:val="en-GB"/>
        </w:rPr>
        <w:t>the applications shall be submitted to the implementing institution in writing in the procedure set forth in Section 12 of the Project Regulations</w:t>
      </w:r>
      <w:r w:rsidR="00545694" w:rsidRPr="001A57E3">
        <w:rPr>
          <w:lang w:val="en-GB" w:eastAsia="lt-LT"/>
        </w:rPr>
        <w:t xml:space="preserve">. </w:t>
      </w:r>
    </w:p>
    <w:p w:rsidR="00420065" w:rsidRPr="001A57E3" w:rsidRDefault="00611BBF">
      <w:pPr>
        <w:ind w:firstLine="709"/>
        <w:jc w:val="both"/>
        <w:rPr>
          <w:lang w:val="en-GB" w:eastAsia="lt-LT"/>
        </w:rPr>
      </w:pPr>
      <w:r w:rsidRPr="001A57E3">
        <w:rPr>
          <w:lang w:val="en-GB" w:eastAsia="lt-LT"/>
        </w:rPr>
        <w:t>6</w:t>
      </w:r>
      <w:r w:rsidR="00226BC0" w:rsidRPr="001A57E3">
        <w:rPr>
          <w:lang w:val="en-GB" w:eastAsia="lt-LT"/>
        </w:rPr>
        <w:t>5</w:t>
      </w:r>
      <w:r w:rsidRPr="001A57E3">
        <w:rPr>
          <w:lang w:val="en-GB" w:eastAsia="lt-LT"/>
        </w:rPr>
        <w:t xml:space="preserve">. </w:t>
      </w:r>
      <w:r w:rsidR="00673D89" w:rsidRPr="001A57E3">
        <w:rPr>
          <w:lang w:val="en-GB"/>
        </w:rPr>
        <w:t xml:space="preserve">Where according to Article 64 of the </w:t>
      </w:r>
      <w:r w:rsidR="00EF72E5" w:rsidRPr="001A57E3">
        <w:rPr>
          <w:lang w:val="en-GB"/>
        </w:rPr>
        <w:t>Guidelines</w:t>
      </w:r>
      <w:r w:rsidR="00673D89" w:rsidRPr="001A57E3">
        <w:rPr>
          <w:lang w:val="en-GB"/>
        </w:rPr>
        <w:t>, the application is submitted in writing, the application may be submitted in one of the following methods</w:t>
      </w:r>
      <w:r w:rsidR="00545694" w:rsidRPr="001A57E3">
        <w:rPr>
          <w:lang w:val="en-GB" w:eastAsia="lt-LT"/>
        </w:rPr>
        <w:t>:</w:t>
      </w:r>
    </w:p>
    <w:p w:rsidR="00420065" w:rsidRPr="001A57E3" w:rsidRDefault="00611BBF">
      <w:pPr>
        <w:ind w:firstLine="709"/>
        <w:jc w:val="both"/>
        <w:rPr>
          <w:lang w:val="en-GB" w:eastAsia="lt-LT"/>
        </w:rPr>
      </w:pPr>
      <w:r w:rsidRPr="001A57E3">
        <w:rPr>
          <w:lang w:val="en-GB" w:eastAsia="lt-LT"/>
        </w:rPr>
        <w:t>6</w:t>
      </w:r>
      <w:r w:rsidR="00226BC0" w:rsidRPr="001A57E3">
        <w:rPr>
          <w:lang w:val="en-GB" w:eastAsia="lt-LT"/>
        </w:rPr>
        <w:t>5</w:t>
      </w:r>
      <w:r w:rsidR="00545694" w:rsidRPr="001A57E3">
        <w:rPr>
          <w:lang w:val="en-GB" w:eastAsia="lt-LT"/>
        </w:rPr>
        <w:t xml:space="preserve">.1. </w:t>
      </w:r>
      <w:proofErr w:type="gramStart"/>
      <w:r w:rsidR="00673D89" w:rsidRPr="001A57E3">
        <w:rPr>
          <w:lang w:val="en-GB"/>
        </w:rPr>
        <w:t>a</w:t>
      </w:r>
      <w:proofErr w:type="gramEnd"/>
      <w:r w:rsidR="00673D89" w:rsidRPr="001A57E3">
        <w:rPr>
          <w:lang w:val="en-GB"/>
        </w:rPr>
        <w:t xml:space="preserve"> paper-based copy of the application and its Annexes drawn up in the Lithuanian language are submitted to the Implementing Authority (attaching the application and its Annexes recorded in the electronic media). The original and the electronic version content of the application shall be identical. Having established that the content of the electronic version of the application does not match the content of the original version, the information provided in the original version of the application shall prevail. An application may be submitted by a registered letter, via a mail courier, or served in person at the address indicated in the call for proposals</w:t>
      </w:r>
      <w:r w:rsidR="00545694" w:rsidRPr="001A57E3">
        <w:rPr>
          <w:lang w:val="en-GB"/>
        </w:rPr>
        <w:t>;</w:t>
      </w:r>
    </w:p>
    <w:p w:rsidR="00420065" w:rsidRPr="001A57E3" w:rsidRDefault="00611BBF">
      <w:pPr>
        <w:ind w:firstLine="709"/>
        <w:jc w:val="both"/>
        <w:rPr>
          <w:lang w:val="en-GB" w:eastAsia="lt-LT"/>
        </w:rPr>
      </w:pPr>
      <w:r w:rsidRPr="001A57E3">
        <w:rPr>
          <w:lang w:val="en-GB"/>
        </w:rPr>
        <w:t>6</w:t>
      </w:r>
      <w:r w:rsidR="00226BC0" w:rsidRPr="001A57E3">
        <w:rPr>
          <w:lang w:val="en-GB"/>
        </w:rPr>
        <w:t>5</w:t>
      </w:r>
      <w:r w:rsidR="00545694" w:rsidRPr="001A57E3">
        <w:rPr>
          <w:lang w:val="en-GB"/>
        </w:rPr>
        <w:t xml:space="preserve">.2. </w:t>
      </w:r>
      <w:proofErr w:type="gramStart"/>
      <w:r w:rsidR="00673D89" w:rsidRPr="001A57E3">
        <w:rPr>
          <w:lang w:val="en-GB"/>
        </w:rPr>
        <w:t>the</w:t>
      </w:r>
      <w:proofErr w:type="gramEnd"/>
      <w:r w:rsidR="00673D89" w:rsidRPr="001A57E3">
        <w:rPr>
          <w:lang w:val="en-GB"/>
        </w:rPr>
        <w:t xml:space="preserve"> electronic document signed by a secure electronic signature is sent to the implementing institution at the electronic mail address indicated in the call for proposals. When the application is submitted in the latter method the documents attached and/or digital copies of the documents attached do not need to be certified by an electronic signature</w:t>
      </w:r>
      <w:r w:rsidR="00545694" w:rsidRPr="001A57E3">
        <w:rPr>
          <w:lang w:val="en-GB" w:eastAsia="lt-LT"/>
        </w:rPr>
        <w:t>.</w:t>
      </w:r>
    </w:p>
    <w:p w:rsidR="00420065" w:rsidRPr="001A57E3" w:rsidRDefault="000D3BDE">
      <w:pPr>
        <w:ind w:firstLine="709"/>
        <w:jc w:val="both"/>
        <w:rPr>
          <w:lang w:val="en-GB" w:eastAsia="lt-LT"/>
        </w:rPr>
      </w:pPr>
      <w:r w:rsidRPr="001A57E3">
        <w:rPr>
          <w:lang w:val="en-GB" w:eastAsia="lt-LT"/>
        </w:rPr>
        <w:t>6</w:t>
      </w:r>
      <w:r w:rsidR="00226BC0" w:rsidRPr="001A57E3">
        <w:rPr>
          <w:lang w:val="en-GB" w:eastAsia="lt-LT"/>
        </w:rPr>
        <w:t>6</w:t>
      </w:r>
      <w:r w:rsidR="00545694" w:rsidRPr="001A57E3">
        <w:rPr>
          <w:lang w:val="en-GB" w:eastAsia="lt-LT"/>
        </w:rPr>
        <w:t xml:space="preserve">. </w:t>
      </w:r>
      <w:proofErr w:type="gramStart"/>
      <w:r w:rsidR="00673D89" w:rsidRPr="001A57E3">
        <w:rPr>
          <w:lang w:val="en-GB"/>
        </w:rPr>
        <w:t>where</w:t>
      </w:r>
      <w:proofErr w:type="gramEnd"/>
      <w:r w:rsidR="00673D89" w:rsidRPr="001A57E3">
        <w:rPr>
          <w:lang w:val="en-GB"/>
        </w:rPr>
        <w:t xml:space="preserve"> the applications are submitted through the DMS, the Applicant shall log-in to the DMS through the State Information Resources Interoperability Platform, and register as a DMS user</w:t>
      </w:r>
      <w:r w:rsidR="00545694" w:rsidRPr="001A57E3">
        <w:rPr>
          <w:lang w:val="en-GB" w:eastAsia="lt-LT"/>
        </w:rPr>
        <w:t>.</w:t>
      </w:r>
    </w:p>
    <w:p w:rsidR="00E249B4" w:rsidRPr="001A57E3" w:rsidRDefault="00611BBF" w:rsidP="00A44D2A">
      <w:pPr>
        <w:ind w:firstLine="709"/>
        <w:jc w:val="both"/>
        <w:rPr>
          <w:szCs w:val="24"/>
          <w:lang w:val="en-GB" w:eastAsia="lt-LT"/>
        </w:rPr>
      </w:pPr>
      <w:r w:rsidRPr="001A57E3">
        <w:rPr>
          <w:szCs w:val="24"/>
          <w:lang w:val="en-GB" w:eastAsia="lt-LT"/>
        </w:rPr>
        <w:t>6</w:t>
      </w:r>
      <w:r w:rsidR="00226BC0" w:rsidRPr="001A57E3">
        <w:rPr>
          <w:szCs w:val="24"/>
          <w:lang w:val="en-GB" w:eastAsia="lt-LT"/>
        </w:rPr>
        <w:t>7</w:t>
      </w:r>
      <w:r w:rsidRPr="001A57E3">
        <w:rPr>
          <w:szCs w:val="24"/>
          <w:lang w:val="en-GB" w:eastAsia="lt-LT"/>
        </w:rPr>
        <w:t>.</w:t>
      </w:r>
      <w:r w:rsidR="004C61D9" w:rsidRPr="001A57E3">
        <w:rPr>
          <w:szCs w:val="24"/>
          <w:lang w:val="en-GB" w:eastAsia="lt-LT"/>
        </w:rPr>
        <w:t xml:space="preserve"> </w:t>
      </w:r>
      <w:r w:rsidR="00957552" w:rsidRPr="001A57E3">
        <w:rPr>
          <w:szCs w:val="24"/>
          <w:lang w:val="en-GB"/>
        </w:rPr>
        <w:t xml:space="preserve">Before submitting the application, the Applicant must have filled out on the information system for the submission of applications and reports of the Lithuanian Science Council the following information in English: the general information of the application and the project </w:t>
      </w:r>
      <w:r w:rsidR="00EF72E5" w:rsidRPr="001A57E3">
        <w:rPr>
          <w:szCs w:val="24"/>
          <w:lang w:val="en-GB"/>
        </w:rPr>
        <w:t>Guidelines</w:t>
      </w:r>
      <w:r w:rsidR="00957552" w:rsidRPr="001A57E3">
        <w:rPr>
          <w:szCs w:val="24"/>
          <w:lang w:val="en-GB"/>
        </w:rPr>
        <w:t xml:space="preserve"> (project need, </w:t>
      </w:r>
      <w:r w:rsidR="00EF72E5" w:rsidRPr="001A57E3">
        <w:rPr>
          <w:szCs w:val="24"/>
          <w:lang w:val="en-GB"/>
        </w:rPr>
        <w:t>Guidelines</w:t>
      </w:r>
      <w:r w:rsidR="00957552" w:rsidRPr="001A57E3">
        <w:rPr>
          <w:szCs w:val="24"/>
          <w:lang w:val="en-GB"/>
        </w:rPr>
        <w:t xml:space="preserve"> of the selected decision and the </w:t>
      </w:r>
      <w:r w:rsidR="00EF72E5" w:rsidRPr="001A57E3">
        <w:rPr>
          <w:szCs w:val="24"/>
          <w:lang w:val="en-GB"/>
        </w:rPr>
        <w:t>Guidelines</w:t>
      </w:r>
      <w:r w:rsidR="00957552" w:rsidRPr="001A57E3">
        <w:rPr>
          <w:szCs w:val="24"/>
          <w:lang w:val="en-GB"/>
        </w:rPr>
        <w:t xml:space="preserve"> of the expected result, project summary, the capacity of the project implementer to implement the project and the </w:t>
      </w:r>
      <w:r w:rsidR="00EF72E5" w:rsidRPr="001A57E3">
        <w:rPr>
          <w:szCs w:val="24"/>
          <w:lang w:val="en-GB"/>
        </w:rPr>
        <w:t>Guidelines</w:t>
      </w:r>
      <w:r w:rsidR="00957552" w:rsidRPr="001A57E3">
        <w:rPr>
          <w:szCs w:val="24"/>
          <w:lang w:val="en-GB"/>
        </w:rPr>
        <w:t xml:space="preserve"> of the project management procedure, the rationale for the selection of the partners, project implementation risks and their management, intended use of the project results following its completion). An applicant logs-in through a website </w:t>
      </w:r>
      <w:proofErr w:type="spellStart"/>
      <w:r w:rsidR="00957552" w:rsidRPr="001A57E3">
        <w:rPr>
          <w:szCs w:val="24"/>
          <w:lang w:val="en-GB"/>
        </w:rPr>
        <w:t>junkis.lmt.lt</w:t>
      </w:r>
      <w:proofErr w:type="spellEnd"/>
      <w:r w:rsidR="00957552" w:rsidRPr="001A57E3">
        <w:rPr>
          <w:szCs w:val="24"/>
          <w:lang w:val="en-GB"/>
        </w:rPr>
        <w:t xml:space="preserve"> and registers as a user, or can log-in using the data earlier created by the user if he had previously used the system). The applicant must also upload the following documents on the system</w:t>
      </w:r>
      <w:r w:rsidR="00E249B4" w:rsidRPr="001A57E3">
        <w:rPr>
          <w:szCs w:val="24"/>
          <w:lang w:val="en-GB" w:eastAsia="lt-LT"/>
        </w:rPr>
        <w:t>:</w:t>
      </w:r>
    </w:p>
    <w:p w:rsidR="00E249B4" w:rsidRPr="001A57E3" w:rsidRDefault="00E249B4" w:rsidP="00A44D2A">
      <w:pPr>
        <w:ind w:firstLine="709"/>
        <w:jc w:val="both"/>
        <w:rPr>
          <w:rFonts w:eastAsia="Calibri"/>
          <w:lang w:val="en-GB"/>
        </w:rPr>
      </w:pPr>
      <w:r w:rsidRPr="001A57E3">
        <w:rPr>
          <w:szCs w:val="24"/>
          <w:lang w:val="en-GB" w:eastAsia="lt-LT"/>
        </w:rPr>
        <w:t>6</w:t>
      </w:r>
      <w:r w:rsidR="00226BC0" w:rsidRPr="001A57E3">
        <w:rPr>
          <w:szCs w:val="24"/>
          <w:lang w:val="en-GB" w:eastAsia="lt-LT"/>
        </w:rPr>
        <w:t>7</w:t>
      </w:r>
      <w:r w:rsidRPr="001A57E3">
        <w:rPr>
          <w:szCs w:val="24"/>
          <w:lang w:val="en-GB" w:eastAsia="lt-LT"/>
        </w:rPr>
        <w:t xml:space="preserve">.1. </w:t>
      </w:r>
      <w:proofErr w:type="gramStart"/>
      <w:r w:rsidR="00957552" w:rsidRPr="001A57E3">
        <w:rPr>
          <w:lang w:val="en-GB"/>
        </w:rPr>
        <w:t>curriculum</w:t>
      </w:r>
      <w:proofErr w:type="gramEnd"/>
      <w:r w:rsidR="00957552" w:rsidRPr="001A57E3">
        <w:rPr>
          <w:lang w:val="en-GB"/>
        </w:rPr>
        <w:t xml:space="preserve"> vitae of the research leader </w:t>
      </w:r>
      <w:r w:rsidRPr="001A57E3">
        <w:rPr>
          <w:rFonts w:eastAsia="Calibri"/>
          <w:lang w:val="en-GB"/>
        </w:rPr>
        <w:t>(</w:t>
      </w:r>
      <w:r w:rsidR="00957552" w:rsidRPr="001A57E3">
        <w:rPr>
          <w:rFonts w:eastAsia="Calibri"/>
          <w:lang w:val="en-GB"/>
        </w:rPr>
        <w:t>in Lithuanian and English</w:t>
      </w:r>
      <w:r w:rsidRPr="001A57E3">
        <w:rPr>
          <w:rFonts w:eastAsia="Calibri"/>
          <w:lang w:val="en-GB"/>
        </w:rPr>
        <w:t>);</w:t>
      </w:r>
    </w:p>
    <w:p w:rsidR="00EE768C" w:rsidRPr="001A57E3" w:rsidRDefault="00E249B4" w:rsidP="00E249B4">
      <w:pPr>
        <w:ind w:firstLine="709"/>
        <w:jc w:val="both"/>
        <w:rPr>
          <w:rFonts w:eastAsia="Calibri"/>
          <w:lang w:val="en-GB"/>
        </w:rPr>
      </w:pPr>
      <w:r w:rsidRPr="001A57E3">
        <w:rPr>
          <w:rFonts w:eastAsia="Calibri"/>
          <w:lang w:val="en-GB"/>
        </w:rPr>
        <w:t>6</w:t>
      </w:r>
      <w:r w:rsidR="00226BC0" w:rsidRPr="001A57E3">
        <w:rPr>
          <w:rFonts w:eastAsia="Calibri"/>
          <w:lang w:val="en-GB"/>
        </w:rPr>
        <w:t>7</w:t>
      </w:r>
      <w:r w:rsidRPr="001A57E3">
        <w:rPr>
          <w:rFonts w:eastAsia="Calibri"/>
          <w:lang w:val="en-GB"/>
        </w:rPr>
        <w:t>.2</w:t>
      </w:r>
      <w:r w:rsidR="00E56412" w:rsidRPr="001A57E3">
        <w:rPr>
          <w:rFonts w:eastAsia="Calibri"/>
          <w:lang w:val="en-GB"/>
        </w:rPr>
        <w:t>.</w:t>
      </w:r>
      <w:r w:rsidRPr="001A57E3">
        <w:rPr>
          <w:rFonts w:eastAsia="Calibri"/>
          <w:lang w:val="en-GB"/>
        </w:rPr>
        <w:t xml:space="preserve"> </w:t>
      </w:r>
      <w:r w:rsidR="00957552" w:rsidRPr="001A57E3">
        <w:rPr>
          <w:lang w:val="en-GB"/>
        </w:rPr>
        <w:t xml:space="preserve">list of research publications and other scientific production of the research leader (with the relevant bibliography information, references to </w:t>
      </w:r>
      <w:proofErr w:type="spellStart"/>
      <w:r w:rsidR="00957552" w:rsidRPr="001A57E3">
        <w:rPr>
          <w:lang w:val="en-GB"/>
        </w:rPr>
        <w:t>Clarivate</w:t>
      </w:r>
      <w:proofErr w:type="spellEnd"/>
      <w:r w:rsidR="00957552" w:rsidRPr="001A57E3">
        <w:rPr>
          <w:lang w:val="en-GB"/>
        </w:rPr>
        <w:t xml:space="preserve"> Analytics (former Thomson Reuters) Web of Science or Scopus, or another database or publicly accessible source facilitating verifying the information) (in the original language)</w:t>
      </w:r>
      <w:r w:rsidR="00EE768C" w:rsidRPr="001A57E3">
        <w:rPr>
          <w:rFonts w:eastAsia="Calibri"/>
          <w:lang w:val="en-GB"/>
        </w:rPr>
        <w:t>;</w:t>
      </w:r>
    </w:p>
    <w:p w:rsidR="00E249B4" w:rsidRPr="001A57E3" w:rsidRDefault="00EE768C" w:rsidP="00E249B4">
      <w:pPr>
        <w:ind w:firstLine="709"/>
        <w:jc w:val="both"/>
        <w:rPr>
          <w:rFonts w:eastAsia="Calibri"/>
          <w:lang w:val="en-GB"/>
        </w:rPr>
      </w:pPr>
      <w:r w:rsidRPr="001A57E3">
        <w:rPr>
          <w:rFonts w:eastAsia="Calibri"/>
          <w:lang w:val="en-GB"/>
        </w:rPr>
        <w:t xml:space="preserve">67.3. </w:t>
      </w:r>
      <w:proofErr w:type="gramStart"/>
      <w:r w:rsidR="00957552" w:rsidRPr="001A57E3">
        <w:rPr>
          <w:lang w:val="en-GB"/>
        </w:rPr>
        <w:t>a</w:t>
      </w:r>
      <w:proofErr w:type="gramEnd"/>
      <w:r w:rsidR="00957552" w:rsidRPr="001A57E3">
        <w:rPr>
          <w:lang w:val="en-GB"/>
        </w:rPr>
        <w:t xml:space="preserve"> copy of the document certifying the academic degree of the research leader</w:t>
      </w:r>
      <w:r w:rsidR="006122E9" w:rsidRPr="001A57E3">
        <w:rPr>
          <w:rFonts w:eastAsia="Calibri"/>
          <w:lang w:val="en-GB"/>
        </w:rPr>
        <w:t>.</w:t>
      </w:r>
    </w:p>
    <w:p w:rsidR="00420065" w:rsidRPr="001A57E3" w:rsidRDefault="00611BBF">
      <w:pPr>
        <w:ind w:firstLine="709"/>
        <w:jc w:val="both"/>
        <w:rPr>
          <w:szCs w:val="24"/>
          <w:lang w:val="en-GB" w:eastAsia="lt-LT"/>
        </w:rPr>
      </w:pPr>
      <w:r w:rsidRPr="001A57E3">
        <w:rPr>
          <w:lang w:val="en-GB" w:eastAsia="lt-LT"/>
        </w:rPr>
        <w:t>6</w:t>
      </w:r>
      <w:r w:rsidR="00226BC0" w:rsidRPr="001A57E3">
        <w:rPr>
          <w:lang w:val="en-GB" w:eastAsia="lt-LT"/>
        </w:rPr>
        <w:t>8</w:t>
      </w:r>
      <w:r w:rsidR="00545694" w:rsidRPr="001A57E3">
        <w:rPr>
          <w:lang w:val="en-GB" w:eastAsia="lt-LT"/>
        </w:rPr>
        <w:t xml:space="preserve">. </w:t>
      </w:r>
      <w:r w:rsidR="00957552" w:rsidRPr="001A57E3">
        <w:rPr>
          <w:szCs w:val="24"/>
          <w:lang w:val="en-GB"/>
        </w:rPr>
        <w:t>Where the functionalities of the DMS are temporarily not available, and for that reason the applicants are not able to upload the application or an Annex(-s)  thereto on the last day for the submission of applications, the Implementing authority  shall extend the term for the submission of applications for 7 (seven) days, and/or provides for a possibility to submit the application and the Annexes in another way, and announces about that in the procedure specified in Article 82 of the Project Regulations</w:t>
      </w:r>
      <w:r w:rsidR="00545694" w:rsidRPr="001A57E3">
        <w:rPr>
          <w:i/>
          <w:lang w:val="en-GB" w:eastAsia="lt-LT"/>
        </w:rPr>
        <w:t>.</w:t>
      </w:r>
    </w:p>
    <w:p w:rsidR="00420065" w:rsidRPr="001A57E3" w:rsidRDefault="00226BC0">
      <w:pPr>
        <w:ind w:firstLine="709"/>
        <w:jc w:val="both"/>
        <w:rPr>
          <w:lang w:val="en-GB" w:eastAsia="lt-LT"/>
        </w:rPr>
      </w:pPr>
      <w:r w:rsidRPr="001A57E3">
        <w:rPr>
          <w:lang w:val="en-GB" w:eastAsia="lt-LT"/>
        </w:rPr>
        <w:t>69</w:t>
      </w:r>
      <w:r w:rsidR="00545694" w:rsidRPr="001A57E3">
        <w:rPr>
          <w:lang w:val="en-GB" w:eastAsia="lt-LT"/>
        </w:rPr>
        <w:t xml:space="preserve">. </w:t>
      </w:r>
      <w:r w:rsidR="00957552" w:rsidRPr="001A57E3">
        <w:rPr>
          <w:lang w:val="en-GB"/>
        </w:rPr>
        <w:t>Attached to the application the applicant is required to submit the following Annexes</w:t>
      </w:r>
      <w:r w:rsidR="00545694" w:rsidRPr="001A57E3">
        <w:rPr>
          <w:lang w:val="en-GB" w:eastAsia="lt-LT"/>
        </w:rPr>
        <w:t>:</w:t>
      </w:r>
    </w:p>
    <w:p w:rsidR="00420065" w:rsidRPr="001A57E3" w:rsidRDefault="00226BC0">
      <w:pPr>
        <w:ind w:firstLine="709"/>
        <w:jc w:val="both"/>
        <w:rPr>
          <w:szCs w:val="24"/>
          <w:lang w:val="en-GB" w:eastAsia="lt-LT"/>
        </w:rPr>
      </w:pPr>
      <w:r w:rsidRPr="001A57E3">
        <w:rPr>
          <w:szCs w:val="24"/>
          <w:lang w:val="en-GB" w:eastAsia="lt-LT"/>
        </w:rPr>
        <w:t>69</w:t>
      </w:r>
      <w:r w:rsidR="00545694" w:rsidRPr="001A57E3">
        <w:rPr>
          <w:szCs w:val="24"/>
          <w:lang w:val="en-GB" w:eastAsia="lt-LT"/>
        </w:rPr>
        <w:t xml:space="preserve">.1. </w:t>
      </w:r>
      <w:r w:rsidR="00957552" w:rsidRPr="001A57E3">
        <w:rPr>
          <w:szCs w:val="24"/>
          <w:lang w:val="en-GB"/>
        </w:rPr>
        <w:t>A letter signed by the head of the Applicant</w:t>
      </w:r>
      <w:r w:rsidR="00957552" w:rsidRPr="001A57E3">
        <w:rPr>
          <w:szCs w:val="24"/>
          <w:cs/>
          <w:lang w:val="en-GB"/>
        </w:rPr>
        <w:t>’</w:t>
      </w:r>
      <w:r w:rsidR="00957552" w:rsidRPr="001A57E3">
        <w:rPr>
          <w:szCs w:val="24"/>
          <w:lang w:val="en-GB"/>
        </w:rPr>
        <w:t>s institution or a person author</w:t>
      </w:r>
      <w:r w:rsidR="00123501" w:rsidRPr="001A57E3">
        <w:rPr>
          <w:szCs w:val="24"/>
          <w:lang w:val="en-GB"/>
        </w:rPr>
        <w:t>ise</w:t>
      </w:r>
      <w:r w:rsidR="00957552" w:rsidRPr="001A57E3">
        <w:rPr>
          <w:szCs w:val="24"/>
          <w:lang w:val="en-GB"/>
        </w:rPr>
        <w:t xml:space="preserve">d thereby regarding the capacities of the Applicant (beneficiary) to implement the project, and the security for the project implementation (a model form of the letter is available at the website of the EU structural </w:t>
      </w:r>
      <w:r w:rsidR="009F375C" w:rsidRPr="001A57E3">
        <w:rPr>
          <w:szCs w:val="24"/>
          <w:lang w:val="en-GB"/>
        </w:rPr>
        <w:t>investment</w:t>
      </w:r>
      <w:r w:rsidR="00957552" w:rsidRPr="001A57E3">
        <w:rPr>
          <w:szCs w:val="24"/>
          <w:lang w:val="en-GB"/>
        </w:rPr>
        <w:t xml:space="preserve"> </w:t>
      </w:r>
      <w:hyperlink r:id="rId28" w:history="1">
        <w:r w:rsidR="00957552" w:rsidRPr="001A57E3">
          <w:rPr>
            <w:rStyle w:val="Hyperlink"/>
            <w:color w:val="000000"/>
            <w:szCs w:val="24"/>
            <w:lang w:val="en-GB"/>
          </w:rPr>
          <w:t>www.esinvesticijos.lt</w:t>
        </w:r>
      </w:hyperlink>
      <w:r w:rsidR="00957552" w:rsidRPr="001A57E3">
        <w:rPr>
          <w:szCs w:val="24"/>
          <w:lang w:val="en-GB"/>
        </w:rPr>
        <w:t xml:space="preserve"> and the website of the Implementing </w:t>
      </w:r>
      <w:proofErr w:type="gramStart"/>
      <w:r w:rsidR="00957552" w:rsidRPr="001A57E3">
        <w:rPr>
          <w:szCs w:val="24"/>
          <w:lang w:val="en-GB"/>
        </w:rPr>
        <w:t xml:space="preserve">authority  </w:t>
      </w:r>
      <w:proofErr w:type="gramEnd"/>
      <w:r w:rsidR="00CF5C07" w:rsidRPr="001A57E3">
        <w:fldChar w:fldCharType="begin"/>
      </w:r>
      <w:r w:rsidR="00CF5C07" w:rsidRPr="001A57E3">
        <w:instrText xml:space="preserve"> HYPERLINK "http://www.lmt.lt" </w:instrText>
      </w:r>
      <w:r w:rsidR="00CF5C07" w:rsidRPr="001A57E3">
        <w:fldChar w:fldCharType="separate"/>
      </w:r>
      <w:r w:rsidR="00957552" w:rsidRPr="001A57E3">
        <w:rPr>
          <w:rStyle w:val="Hyperlink"/>
          <w:color w:val="000000"/>
          <w:szCs w:val="24"/>
          <w:lang w:val="en-GB"/>
        </w:rPr>
        <w:t>www.lmt.lt</w:t>
      </w:r>
      <w:r w:rsidR="00CF5C07" w:rsidRPr="001A57E3">
        <w:rPr>
          <w:rStyle w:val="Hyperlink"/>
          <w:color w:val="000000"/>
          <w:szCs w:val="24"/>
          <w:lang w:val="en-GB"/>
        </w:rPr>
        <w:fldChar w:fldCharType="end"/>
      </w:r>
      <w:r w:rsidR="00957552" w:rsidRPr="001A57E3">
        <w:rPr>
          <w:rStyle w:val="Hyperlink"/>
          <w:color w:val="000000"/>
          <w:szCs w:val="24"/>
          <w:u w:val="none"/>
          <w:lang w:val="en-GB"/>
        </w:rPr>
        <w:t>) (in Lithuanian)</w:t>
      </w:r>
      <w:r w:rsidR="00545694" w:rsidRPr="001A57E3">
        <w:rPr>
          <w:szCs w:val="24"/>
          <w:lang w:val="en-GB" w:eastAsia="lt-LT"/>
        </w:rPr>
        <w:t>;</w:t>
      </w:r>
    </w:p>
    <w:p w:rsidR="00E621CB" w:rsidRPr="001A57E3" w:rsidRDefault="00226BC0" w:rsidP="00E62333">
      <w:pPr>
        <w:ind w:firstLine="709"/>
        <w:jc w:val="both"/>
        <w:rPr>
          <w:lang w:val="en-GB" w:eastAsia="lt-LT"/>
        </w:rPr>
      </w:pPr>
      <w:r w:rsidRPr="001A57E3">
        <w:rPr>
          <w:lang w:val="en-GB" w:eastAsia="lt-LT"/>
        </w:rPr>
        <w:t>69</w:t>
      </w:r>
      <w:r w:rsidR="00545694" w:rsidRPr="001A57E3">
        <w:rPr>
          <w:lang w:val="en-GB" w:eastAsia="lt-LT"/>
        </w:rPr>
        <w:t xml:space="preserve">.2. </w:t>
      </w:r>
      <w:r w:rsidR="00957552" w:rsidRPr="001A57E3">
        <w:rPr>
          <w:lang w:val="en-GB" w:eastAsia="lt-LT"/>
        </w:rPr>
        <w:t>a copy of the work contract(s) with the foreign institution(s) and/or the free-form certificate signed by the head of the foreign institution(s) (or his authorised representative) regarding the current/previous employment relations) (in English), in order to prove the duration of work abroad of not less than 5 years</w:t>
      </w:r>
      <w:r w:rsidR="00E621CB" w:rsidRPr="001A57E3">
        <w:rPr>
          <w:lang w:val="en-GB" w:eastAsia="lt-LT"/>
        </w:rPr>
        <w:t>;</w:t>
      </w:r>
    </w:p>
    <w:p w:rsidR="00786284" w:rsidRPr="001A57E3" w:rsidRDefault="00E621CB" w:rsidP="006122E9">
      <w:pPr>
        <w:ind w:firstLine="709"/>
        <w:jc w:val="both"/>
        <w:rPr>
          <w:rFonts w:eastAsia="Calibri"/>
          <w:lang w:val="en-GB"/>
        </w:rPr>
      </w:pPr>
      <w:r w:rsidRPr="001A57E3">
        <w:rPr>
          <w:lang w:val="en-GB" w:eastAsia="lt-LT"/>
        </w:rPr>
        <w:t xml:space="preserve">69.3. </w:t>
      </w:r>
      <w:r w:rsidR="00C62FAD" w:rsidRPr="001A57E3">
        <w:rPr>
          <w:lang w:val="en-GB" w:eastAsia="lt-LT"/>
        </w:rPr>
        <w:t>a c</w:t>
      </w:r>
      <w:r w:rsidR="00957552" w:rsidRPr="001A57E3">
        <w:rPr>
          <w:lang w:val="en-GB" w:eastAsia="lt-LT"/>
        </w:rPr>
        <w:t xml:space="preserve">ertificate issued by the State Social Insurance Fund under the Ministry of Social Security and Labour on concluded employment contracts during the last 12 months before the deadline for submission of applications specified in the call for applications </w:t>
      </w:r>
      <w:r w:rsidR="00BD0EF8" w:rsidRPr="001A57E3">
        <w:rPr>
          <w:lang w:val="en-GB" w:eastAsia="lt-LT"/>
        </w:rPr>
        <w:t>(</w:t>
      </w:r>
      <w:r w:rsidR="007271D5" w:rsidRPr="001A57E3">
        <w:rPr>
          <w:lang w:val="en-GB" w:eastAsia="lt-LT"/>
        </w:rPr>
        <w:t>applicable</w:t>
      </w:r>
      <w:r w:rsidR="00957552" w:rsidRPr="001A57E3">
        <w:rPr>
          <w:lang w:val="en-GB" w:eastAsia="lt-LT"/>
        </w:rPr>
        <w:t xml:space="preserve"> if the research leader has worked in Lithuania for the last 12 months before the deadline for submission of applications specified in the call</w:t>
      </w:r>
      <w:r w:rsidR="00BD0EF8" w:rsidRPr="001A57E3">
        <w:rPr>
          <w:lang w:val="en-GB" w:eastAsia="lt-LT"/>
        </w:rPr>
        <w:t>)</w:t>
      </w:r>
      <w:r w:rsidR="00E0008A" w:rsidRPr="001A57E3">
        <w:rPr>
          <w:lang w:val="en-GB" w:eastAsia="lt-LT"/>
        </w:rPr>
        <w:t>.</w:t>
      </w:r>
    </w:p>
    <w:p w:rsidR="00420065" w:rsidRPr="001A57E3" w:rsidRDefault="0025634F">
      <w:pPr>
        <w:ind w:firstLine="709"/>
        <w:jc w:val="both"/>
        <w:rPr>
          <w:rFonts w:eastAsia="Calibri"/>
          <w:lang w:val="en-GB"/>
        </w:rPr>
      </w:pPr>
      <w:r w:rsidRPr="001A57E3">
        <w:rPr>
          <w:rFonts w:eastAsia="Calibri"/>
          <w:lang w:val="en-GB"/>
        </w:rPr>
        <w:t>6</w:t>
      </w:r>
      <w:r w:rsidR="00E621CB" w:rsidRPr="001A57E3">
        <w:rPr>
          <w:rFonts w:eastAsia="Calibri"/>
          <w:lang w:val="en-GB"/>
        </w:rPr>
        <w:t>9</w:t>
      </w:r>
      <w:r w:rsidR="00545694" w:rsidRPr="001A57E3">
        <w:rPr>
          <w:rFonts w:eastAsia="Calibri"/>
          <w:lang w:val="en-GB"/>
        </w:rPr>
        <w:t>.</w:t>
      </w:r>
      <w:r w:rsidR="006122E9" w:rsidRPr="001A57E3">
        <w:rPr>
          <w:rFonts w:eastAsia="Calibri"/>
          <w:lang w:val="en-GB"/>
        </w:rPr>
        <w:t>4</w:t>
      </w:r>
      <w:r w:rsidR="00545694" w:rsidRPr="001A57E3">
        <w:rPr>
          <w:rFonts w:eastAsia="Calibri"/>
          <w:lang w:val="en-GB"/>
        </w:rPr>
        <w:t xml:space="preserve">. </w:t>
      </w:r>
      <w:r w:rsidR="00C62FAD" w:rsidRPr="001A57E3">
        <w:rPr>
          <w:rFonts w:eastAsia="Calibri"/>
          <w:lang w:val="en-GB"/>
        </w:rPr>
        <w:t>c</w:t>
      </w:r>
      <w:r w:rsidR="00957552" w:rsidRPr="001A57E3">
        <w:rPr>
          <w:rFonts w:eastAsia="Calibri"/>
          <w:lang w:val="en-GB"/>
        </w:rPr>
        <w:t xml:space="preserve">opies of documents on granting the research leader maternity, paternity or child raising leave until the child turns 3 </w:t>
      </w:r>
      <w:r w:rsidR="00545694" w:rsidRPr="001A57E3">
        <w:rPr>
          <w:rFonts w:eastAsia="Calibri"/>
          <w:lang w:val="en-GB"/>
        </w:rPr>
        <w:t>(</w:t>
      </w:r>
      <w:r w:rsidR="00C62FAD" w:rsidRPr="001A57E3">
        <w:rPr>
          <w:rFonts w:eastAsia="Calibri"/>
          <w:lang w:val="en-GB"/>
        </w:rPr>
        <w:t xml:space="preserve">applicable if the research leader seeks to make use of the clause on maternity, paternity or child raising leave for the periods specified in Item 3 of Annex 2 to the </w:t>
      </w:r>
      <w:r w:rsidR="00EF72E5" w:rsidRPr="001A57E3">
        <w:rPr>
          <w:rFonts w:eastAsia="Calibri"/>
          <w:lang w:val="en-GB"/>
        </w:rPr>
        <w:t>Guidelines</w:t>
      </w:r>
      <w:r w:rsidR="00545694" w:rsidRPr="001A57E3">
        <w:rPr>
          <w:rFonts w:eastAsia="Calibri"/>
          <w:lang w:val="en-GB"/>
        </w:rPr>
        <w:t>);</w:t>
      </w:r>
    </w:p>
    <w:p w:rsidR="00420065" w:rsidRPr="001A57E3" w:rsidRDefault="00226BC0">
      <w:pPr>
        <w:ind w:firstLine="709"/>
        <w:jc w:val="both"/>
        <w:rPr>
          <w:lang w:val="en-GB" w:eastAsia="lt-LT"/>
        </w:rPr>
      </w:pPr>
      <w:r w:rsidRPr="001A57E3">
        <w:rPr>
          <w:lang w:val="en-GB" w:eastAsia="lt-LT"/>
        </w:rPr>
        <w:t>69</w:t>
      </w:r>
      <w:r w:rsidR="00545694" w:rsidRPr="001A57E3">
        <w:rPr>
          <w:lang w:val="en-GB" w:eastAsia="lt-LT"/>
        </w:rPr>
        <w:t>.</w:t>
      </w:r>
      <w:r w:rsidR="006122E9" w:rsidRPr="001A57E3">
        <w:rPr>
          <w:lang w:val="en-GB" w:eastAsia="lt-LT"/>
        </w:rPr>
        <w:t>5</w:t>
      </w:r>
      <w:r w:rsidR="00545694" w:rsidRPr="001A57E3">
        <w:rPr>
          <w:lang w:val="en-GB" w:eastAsia="lt-LT"/>
        </w:rPr>
        <w:t xml:space="preserve">. </w:t>
      </w:r>
      <w:r w:rsidR="00C62FAD" w:rsidRPr="001A57E3">
        <w:rPr>
          <w:lang w:val="en-GB" w:eastAsia="lt-LT"/>
        </w:rPr>
        <w:t>a questionnaire regarding the eligibility of the input and/or import value added tax for funding from the structural funds of the European Union and/or the State budget of the Republic of Lithuania</w:t>
      </w:r>
      <w:r w:rsidR="00C62FAD" w:rsidRPr="001A57E3">
        <w:rPr>
          <w:rFonts w:eastAsia="Calibri"/>
          <w:lang w:val="en-GB" w:eastAsia="lt-LT"/>
        </w:rPr>
        <w:t xml:space="preserve"> </w:t>
      </w:r>
      <w:r w:rsidR="00C62FAD" w:rsidRPr="001A57E3">
        <w:rPr>
          <w:rFonts w:eastAsia="Calibri"/>
          <w:lang w:val="en-GB"/>
        </w:rPr>
        <w:t xml:space="preserve">(the form is published in Section ‘Documents of EU structural funds’ website </w:t>
      </w:r>
      <w:hyperlink r:id="rId29" w:history="1">
        <w:r w:rsidR="00C62FAD" w:rsidRPr="001A57E3">
          <w:rPr>
            <w:rStyle w:val="Hyperlink"/>
            <w:lang w:val="en-GB" w:eastAsia="lt-LT"/>
          </w:rPr>
          <w:t>www.esinvesticijos.lt</w:t>
        </w:r>
      </w:hyperlink>
      <w:r w:rsidR="00C62FAD" w:rsidRPr="001A57E3">
        <w:rPr>
          <w:lang w:val="en-GB"/>
        </w:rPr>
        <w:t xml:space="preserve">, document type </w:t>
      </w:r>
      <w:r w:rsidR="00C62FAD" w:rsidRPr="001A57E3">
        <w:rPr>
          <w:lang w:val="en-GB" w:eastAsia="lt-LT"/>
        </w:rPr>
        <w:t>‘</w:t>
      </w:r>
      <w:r w:rsidR="00C62FAD" w:rsidRPr="001A57E3">
        <w:rPr>
          <w:rFonts w:cs="Arial"/>
          <w:lang w:val="en-GB"/>
        </w:rPr>
        <w:t>forms of application annexes’</w:t>
      </w:r>
      <w:r w:rsidR="00545694" w:rsidRPr="001A57E3">
        <w:rPr>
          <w:rFonts w:eastAsia="Calibri"/>
          <w:lang w:val="en-GB"/>
        </w:rPr>
        <w:t>);</w:t>
      </w:r>
    </w:p>
    <w:p w:rsidR="00420065" w:rsidRPr="001A57E3" w:rsidRDefault="00226BC0">
      <w:pPr>
        <w:ind w:firstLine="709"/>
        <w:jc w:val="both"/>
        <w:rPr>
          <w:lang w:val="en-GB" w:eastAsia="lt-LT"/>
        </w:rPr>
      </w:pPr>
      <w:r w:rsidRPr="001A57E3">
        <w:rPr>
          <w:lang w:val="en-GB" w:eastAsia="lt-LT"/>
        </w:rPr>
        <w:t>69</w:t>
      </w:r>
      <w:r w:rsidR="00545694" w:rsidRPr="001A57E3">
        <w:rPr>
          <w:lang w:val="en-GB" w:eastAsia="lt-LT"/>
        </w:rPr>
        <w:t>.</w:t>
      </w:r>
      <w:r w:rsidR="006122E9" w:rsidRPr="001A57E3">
        <w:rPr>
          <w:lang w:val="en-GB" w:eastAsia="lt-LT"/>
        </w:rPr>
        <w:t>6</w:t>
      </w:r>
      <w:r w:rsidR="00545694" w:rsidRPr="001A57E3">
        <w:rPr>
          <w:lang w:val="en-GB" w:eastAsia="lt-LT"/>
        </w:rPr>
        <w:t xml:space="preserve">. </w:t>
      </w:r>
      <w:proofErr w:type="gramStart"/>
      <w:r w:rsidR="00C62FAD" w:rsidRPr="001A57E3">
        <w:rPr>
          <w:lang w:val="en-GB" w:eastAsia="lt-LT"/>
        </w:rPr>
        <w:t>copies</w:t>
      </w:r>
      <w:proofErr w:type="gramEnd"/>
      <w:r w:rsidR="00C62FAD" w:rsidRPr="001A57E3">
        <w:rPr>
          <w:lang w:val="en-GB" w:eastAsia="lt-LT"/>
        </w:rPr>
        <w:t xml:space="preserve"> of all authorisations to sign </w:t>
      </w:r>
      <w:r w:rsidR="007271D5" w:rsidRPr="001A57E3">
        <w:rPr>
          <w:lang w:val="en-GB" w:eastAsia="lt-LT"/>
        </w:rPr>
        <w:t>relevant</w:t>
      </w:r>
      <w:r w:rsidR="00C62FAD" w:rsidRPr="001A57E3">
        <w:rPr>
          <w:lang w:val="en-GB" w:eastAsia="lt-LT"/>
        </w:rPr>
        <w:t xml:space="preserve"> documents (if signed by someone other than the head of the institution)</w:t>
      </w:r>
      <w:r w:rsidR="00545694" w:rsidRPr="001A57E3">
        <w:rPr>
          <w:lang w:val="en-GB" w:eastAsia="lt-LT"/>
        </w:rPr>
        <w:t>;</w:t>
      </w:r>
    </w:p>
    <w:p w:rsidR="00420065" w:rsidRPr="001A57E3" w:rsidRDefault="00226BC0">
      <w:pPr>
        <w:ind w:firstLine="709"/>
        <w:jc w:val="both"/>
        <w:rPr>
          <w:lang w:val="en-GB"/>
        </w:rPr>
      </w:pPr>
      <w:r w:rsidRPr="001A57E3">
        <w:rPr>
          <w:lang w:val="en-GB" w:eastAsia="lt-LT"/>
        </w:rPr>
        <w:t>69</w:t>
      </w:r>
      <w:r w:rsidR="00545694" w:rsidRPr="001A57E3">
        <w:rPr>
          <w:lang w:val="en-GB" w:eastAsia="lt-LT"/>
        </w:rPr>
        <w:t>.</w:t>
      </w:r>
      <w:r w:rsidR="006122E9" w:rsidRPr="001A57E3">
        <w:rPr>
          <w:lang w:val="en-GB" w:eastAsia="lt-LT"/>
        </w:rPr>
        <w:t>7</w:t>
      </w:r>
      <w:r w:rsidR="00545694" w:rsidRPr="001A57E3">
        <w:rPr>
          <w:lang w:val="en-GB" w:eastAsia="lt-LT"/>
        </w:rPr>
        <w:t xml:space="preserve">. </w:t>
      </w:r>
      <w:proofErr w:type="gramStart"/>
      <w:r w:rsidR="00C62FAD" w:rsidRPr="001A57E3">
        <w:rPr>
          <w:lang w:val="en-GB"/>
        </w:rPr>
        <w:t>declaration(s)</w:t>
      </w:r>
      <w:proofErr w:type="gramEnd"/>
      <w:r w:rsidR="00C62FAD" w:rsidRPr="001A57E3">
        <w:rPr>
          <w:lang w:val="en-GB"/>
        </w:rPr>
        <w:t xml:space="preserve"> of the partner(s) if the project is planned to be implemented with partners (the partner’s declaration form is integrated into the application form to be completed)</w:t>
      </w:r>
      <w:r w:rsidR="00545694" w:rsidRPr="001A57E3">
        <w:rPr>
          <w:lang w:val="en-GB"/>
        </w:rPr>
        <w:t>;</w:t>
      </w:r>
    </w:p>
    <w:p w:rsidR="00420065" w:rsidRPr="001A57E3" w:rsidRDefault="00226BC0">
      <w:pPr>
        <w:ind w:firstLine="709"/>
        <w:jc w:val="both"/>
        <w:rPr>
          <w:lang w:val="en-GB"/>
        </w:rPr>
      </w:pPr>
      <w:r w:rsidRPr="001A57E3">
        <w:rPr>
          <w:lang w:val="en-GB"/>
        </w:rPr>
        <w:t>69</w:t>
      </w:r>
      <w:r w:rsidR="00545694" w:rsidRPr="001A57E3">
        <w:rPr>
          <w:lang w:val="en-GB"/>
        </w:rPr>
        <w:t>.</w:t>
      </w:r>
      <w:r w:rsidR="006122E9" w:rsidRPr="001A57E3">
        <w:rPr>
          <w:lang w:val="en-GB"/>
        </w:rPr>
        <w:t>8</w:t>
      </w:r>
      <w:r w:rsidR="00545694" w:rsidRPr="001A57E3">
        <w:rPr>
          <w:lang w:val="en-GB"/>
        </w:rPr>
        <w:t xml:space="preserve">. </w:t>
      </w:r>
      <w:proofErr w:type="gramStart"/>
      <w:r w:rsidR="00C62FAD" w:rsidRPr="001A57E3">
        <w:rPr>
          <w:lang w:val="en-GB"/>
        </w:rPr>
        <w:t>project</w:t>
      </w:r>
      <w:proofErr w:type="gramEnd"/>
      <w:r w:rsidR="00C62FAD" w:rsidRPr="001A57E3">
        <w:rPr>
          <w:lang w:val="en-GB"/>
        </w:rPr>
        <w:t xml:space="preserve"> budget allocation by applicants and partners</w:t>
      </w:r>
      <w:r w:rsidR="00545694" w:rsidRPr="001A57E3">
        <w:rPr>
          <w:lang w:val="en-GB"/>
        </w:rPr>
        <w:t xml:space="preserve"> </w:t>
      </w:r>
      <w:r w:rsidR="00611BBF" w:rsidRPr="001A57E3">
        <w:rPr>
          <w:lang w:val="en-GB"/>
        </w:rPr>
        <w:t>(</w:t>
      </w:r>
      <w:r w:rsidR="00C62FAD" w:rsidRPr="001A57E3">
        <w:rPr>
          <w:lang w:val="en-GB"/>
        </w:rPr>
        <w:t>Annex 3 to the Application</w:t>
      </w:r>
      <w:r w:rsidR="00611BBF" w:rsidRPr="001A57E3">
        <w:rPr>
          <w:lang w:val="en-GB"/>
        </w:rPr>
        <w:t>)</w:t>
      </w:r>
      <w:r w:rsidR="00545694" w:rsidRPr="001A57E3">
        <w:rPr>
          <w:lang w:val="en-GB"/>
        </w:rPr>
        <w:t>;</w:t>
      </w:r>
    </w:p>
    <w:p w:rsidR="001B553B" w:rsidRPr="001A57E3" w:rsidRDefault="00226BC0" w:rsidP="001B553B">
      <w:pPr>
        <w:ind w:firstLine="709"/>
        <w:jc w:val="both"/>
        <w:rPr>
          <w:lang w:val="en-GB"/>
        </w:rPr>
      </w:pPr>
      <w:r w:rsidRPr="001A57E3">
        <w:rPr>
          <w:lang w:val="en-GB"/>
        </w:rPr>
        <w:t>69</w:t>
      </w:r>
      <w:r w:rsidR="005E4234" w:rsidRPr="001A57E3">
        <w:rPr>
          <w:lang w:val="en-GB"/>
        </w:rPr>
        <w:t>.</w:t>
      </w:r>
      <w:r w:rsidR="006122E9" w:rsidRPr="001A57E3">
        <w:rPr>
          <w:lang w:val="en-GB"/>
        </w:rPr>
        <w:t>9</w:t>
      </w:r>
      <w:r w:rsidR="005E4234" w:rsidRPr="001A57E3">
        <w:rPr>
          <w:lang w:val="en-GB"/>
        </w:rPr>
        <w:t xml:space="preserve">. </w:t>
      </w:r>
      <w:r w:rsidR="00C62FAD" w:rsidRPr="001A57E3">
        <w:rPr>
          <w:lang w:val="en-GB"/>
        </w:rPr>
        <w:t xml:space="preserve">a Statistical Report on Research and Development (Form MT-02), approved by the Director of the Department of Statistics of the Republic of Lithuania for the last calendar year preceding the closing date for the submission of applications specified in the invitation </w:t>
      </w:r>
      <w:r w:rsidR="00CD36F5" w:rsidRPr="001A57E3">
        <w:rPr>
          <w:lang w:val="en-GB"/>
        </w:rPr>
        <w:t>(</w:t>
      </w:r>
      <w:r w:rsidR="00C62FAD" w:rsidRPr="001A57E3">
        <w:rPr>
          <w:lang w:val="en-GB"/>
        </w:rPr>
        <w:t>Applicable if the partner(s) is/are a private legal entity</w:t>
      </w:r>
      <w:r w:rsidR="00CD36F5" w:rsidRPr="001A57E3">
        <w:rPr>
          <w:lang w:val="en-GB"/>
        </w:rPr>
        <w:t>);</w:t>
      </w:r>
    </w:p>
    <w:p w:rsidR="005E4234" w:rsidRPr="001A57E3" w:rsidRDefault="00226BC0" w:rsidP="001B553B">
      <w:pPr>
        <w:ind w:firstLine="709"/>
        <w:jc w:val="both"/>
        <w:rPr>
          <w:lang w:val="en-GB"/>
        </w:rPr>
      </w:pPr>
      <w:r w:rsidRPr="001A57E3">
        <w:rPr>
          <w:lang w:val="en-GB"/>
        </w:rPr>
        <w:t>69</w:t>
      </w:r>
      <w:r w:rsidR="001B553B" w:rsidRPr="001A57E3">
        <w:rPr>
          <w:lang w:val="en-GB"/>
        </w:rPr>
        <w:t>.</w:t>
      </w:r>
      <w:r w:rsidR="006122E9" w:rsidRPr="001A57E3">
        <w:rPr>
          <w:lang w:val="en-GB"/>
        </w:rPr>
        <w:t>10</w:t>
      </w:r>
      <w:r w:rsidR="001B553B" w:rsidRPr="001A57E3">
        <w:rPr>
          <w:lang w:val="en-GB"/>
        </w:rPr>
        <w:t xml:space="preserve">. </w:t>
      </w:r>
      <w:r w:rsidR="00C62FAD" w:rsidRPr="001A57E3">
        <w:rPr>
          <w:lang w:val="en-GB"/>
        </w:rPr>
        <w:t xml:space="preserve">a document issued by institution authorised by a Member State, confirming the R&amp;D activities carried out during the last calendar year preceding the closing date for the submission of applications as specified in the notice </w:t>
      </w:r>
      <w:r w:rsidR="001B553B" w:rsidRPr="001A57E3">
        <w:rPr>
          <w:lang w:val="en-GB"/>
        </w:rPr>
        <w:t>(</w:t>
      </w:r>
      <w:r w:rsidR="00C62FAD" w:rsidRPr="001A57E3">
        <w:rPr>
          <w:lang w:val="en-GB"/>
        </w:rPr>
        <w:t>applicable if the partner(s) (private legal entity) is registered in another Member State</w:t>
      </w:r>
      <w:r w:rsidR="00CD36F5" w:rsidRPr="001A57E3">
        <w:rPr>
          <w:lang w:val="en-GB"/>
        </w:rPr>
        <w:t>)</w:t>
      </w:r>
      <w:r w:rsidR="001B553B" w:rsidRPr="001A57E3">
        <w:rPr>
          <w:lang w:val="en-GB"/>
        </w:rPr>
        <w:t>;</w:t>
      </w:r>
    </w:p>
    <w:p w:rsidR="00727836" w:rsidRPr="001A57E3" w:rsidRDefault="00226BC0">
      <w:pPr>
        <w:ind w:firstLine="709"/>
        <w:jc w:val="both"/>
        <w:rPr>
          <w:lang w:val="en-GB"/>
        </w:rPr>
      </w:pPr>
      <w:r w:rsidRPr="001A57E3">
        <w:rPr>
          <w:lang w:val="en-GB"/>
        </w:rPr>
        <w:t>69</w:t>
      </w:r>
      <w:r w:rsidR="00545694" w:rsidRPr="001A57E3">
        <w:rPr>
          <w:lang w:val="en-GB"/>
        </w:rPr>
        <w:t>.</w:t>
      </w:r>
      <w:r w:rsidR="00113A31" w:rsidRPr="001A57E3">
        <w:rPr>
          <w:lang w:val="en-GB"/>
        </w:rPr>
        <w:t>1</w:t>
      </w:r>
      <w:r w:rsidR="006122E9" w:rsidRPr="001A57E3">
        <w:rPr>
          <w:lang w:val="en-GB"/>
        </w:rPr>
        <w:t>1</w:t>
      </w:r>
      <w:r w:rsidR="00545694" w:rsidRPr="001A57E3">
        <w:rPr>
          <w:lang w:val="en-GB"/>
        </w:rPr>
        <w:t>.</w:t>
      </w:r>
      <w:r w:rsidR="00545694" w:rsidRPr="001A57E3">
        <w:rPr>
          <w:b/>
          <w:lang w:val="en-GB"/>
        </w:rPr>
        <w:t xml:space="preserve"> </w:t>
      </w:r>
      <w:r w:rsidR="00C62FAD" w:rsidRPr="001A57E3">
        <w:rPr>
          <w:lang w:val="en-GB"/>
        </w:rPr>
        <w:t>copies of the Stature (Articles of Association) or the Registration Certificate approved in the manner set forth by the head of the partner(s) and/or the university hospital(s), or references to public documents</w:t>
      </w:r>
      <w:r w:rsidR="00545694" w:rsidRPr="001A57E3">
        <w:rPr>
          <w:lang w:val="en-GB"/>
        </w:rPr>
        <w:t xml:space="preserve"> (</w:t>
      </w:r>
      <w:r w:rsidR="00C62FAD" w:rsidRPr="001A57E3">
        <w:rPr>
          <w:lang w:val="en-GB"/>
        </w:rPr>
        <w:t>the requirement shall not apply to the partners that are universities and research institutions included in the AIKOS</w:t>
      </w:r>
      <w:r w:rsidR="00545694" w:rsidRPr="001A57E3">
        <w:rPr>
          <w:lang w:val="en-GB"/>
        </w:rPr>
        <w:t>);</w:t>
      </w:r>
    </w:p>
    <w:p w:rsidR="00420065" w:rsidRPr="001A57E3" w:rsidRDefault="00226BC0">
      <w:pPr>
        <w:ind w:firstLine="709"/>
        <w:jc w:val="both"/>
        <w:rPr>
          <w:lang w:val="en-GB"/>
        </w:rPr>
      </w:pPr>
      <w:r w:rsidRPr="001A57E3">
        <w:rPr>
          <w:lang w:val="en-GB"/>
        </w:rPr>
        <w:t>69</w:t>
      </w:r>
      <w:r w:rsidR="00545694" w:rsidRPr="001A57E3">
        <w:rPr>
          <w:lang w:val="en-GB"/>
        </w:rPr>
        <w:t>.</w:t>
      </w:r>
      <w:r w:rsidR="00113A31" w:rsidRPr="001A57E3">
        <w:rPr>
          <w:lang w:val="en-GB"/>
        </w:rPr>
        <w:t>1</w:t>
      </w:r>
      <w:r w:rsidR="006122E9" w:rsidRPr="001A57E3">
        <w:rPr>
          <w:lang w:val="en-GB"/>
        </w:rPr>
        <w:t>2</w:t>
      </w:r>
      <w:r w:rsidR="00545694" w:rsidRPr="001A57E3">
        <w:rPr>
          <w:lang w:val="en-GB"/>
        </w:rPr>
        <w:t xml:space="preserve">. </w:t>
      </w:r>
      <w:proofErr w:type="gramStart"/>
      <w:r w:rsidR="00C62FAD" w:rsidRPr="001A57E3">
        <w:rPr>
          <w:lang w:val="en-GB"/>
        </w:rPr>
        <w:t>a</w:t>
      </w:r>
      <w:proofErr w:type="gramEnd"/>
      <w:r w:rsidR="00C62FAD" w:rsidRPr="001A57E3">
        <w:rPr>
          <w:lang w:val="en-GB"/>
        </w:rPr>
        <w:t xml:space="preserve"> copy of the cooperation/partnership contract if the project is implemented together with a partner(s)</w:t>
      </w:r>
      <w:r w:rsidR="00545694" w:rsidRPr="001A57E3">
        <w:rPr>
          <w:lang w:val="en-GB"/>
        </w:rPr>
        <w:t>;</w:t>
      </w:r>
    </w:p>
    <w:p w:rsidR="00420065" w:rsidRPr="001A57E3" w:rsidRDefault="00226BC0">
      <w:pPr>
        <w:ind w:firstLine="709"/>
        <w:jc w:val="both"/>
        <w:rPr>
          <w:lang w:val="en-GB" w:eastAsia="lt-LT"/>
        </w:rPr>
      </w:pPr>
      <w:r w:rsidRPr="001A57E3">
        <w:rPr>
          <w:lang w:val="en-GB"/>
        </w:rPr>
        <w:t>69.1</w:t>
      </w:r>
      <w:r w:rsidR="006122E9" w:rsidRPr="001A57E3">
        <w:rPr>
          <w:lang w:val="en-GB"/>
        </w:rPr>
        <w:t>3</w:t>
      </w:r>
      <w:r w:rsidR="00545694" w:rsidRPr="001A57E3">
        <w:rPr>
          <w:lang w:val="en-GB"/>
        </w:rPr>
        <w:t xml:space="preserve">. </w:t>
      </w:r>
      <w:proofErr w:type="gramStart"/>
      <w:r w:rsidR="00C62FAD" w:rsidRPr="001A57E3">
        <w:rPr>
          <w:lang w:val="en-GB"/>
        </w:rPr>
        <w:t>documents</w:t>
      </w:r>
      <w:proofErr w:type="gramEnd"/>
      <w:r w:rsidR="00C62FAD" w:rsidRPr="001A57E3">
        <w:rPr>
          <w:lang w:val="en-GB"/>
        </w:rPr>
        <w:t xml:space="preserve"> proving own sources of funding of the applicant and/or the partner(s)</w:t>
      </w:r>
      <w:r w:rsidR="00545694" w:rsidRPr="001A57E3">
        <w:rPr>
          <w:lang w:val="en-GB"/>
        </w:rPr>
        <w:t>;</w:t>
      </w:r>
    </w:p>
    <w:p w:rsidR="00420065" w:rsidRPr="001A57E3" w:rsidRDefault="00226BC0">
      <w:pPr>
        <w:ind w:firstLine="709"/>
        <w:jc w:val="both"/>
        <w:rPr>
          <w:lang w:val="en-GB"/>
        </w:rPr>
      </w:pPr>
      <w:r w:rsidRPr="001A57E3">
        <w:rPr>
          <w:lang w:val="en-GB"/>
        </w:rPr>
        <w:t>69</w:t>
      </w:r>
      <w:r w:rsidR="00545694" w:rsidRPr="001A57E3">
        <w:rPr>
          <w:lang w:val="en-GB"/>
        </w:rPr>
        <w:t>.</w:t>
      </w:r>
      <w:r w:rsidR="00113A31" w:rsidRPr="001A57E3">
        <w:rPr>
          <w:lang w:val="en-GB"/>
        </w:rPr>
        <w:t>1</w:t>
      </w:r>
      <w:r w:rsidR="006122E9" w:rsidRPr="001A57E3">
        <w:rPr>
          <w:lang w:val="en-GB"/>
        </w:rPr>
        <w:t>4</w:t>
      </w:r>
      <w:r w:rsidR="008261ED" w:rsidRPr="001A57E3">
        <w:rPr>
          <w:lang w:val="en-GB"/>
        </w:rPr>
        <w:t>.</w:t>
      </w:r>
      <w:r w:rsidR="00545694" w:rsidRPr="001A57E3">
        <w:rPr>
          <w:lang w:val="en-GB"/>
        </w:rPr>
        <w:t xml:space="preserve"> </w:t>
      </w:r>
      <w:r w:rsidR="00C62FAD" w:rsidRPr="001A57E3">
        <w:rPr>
          <w:lang w:val="en-GB"/>
        </w:rPr>
        <w:t xml:space="preserve">documents or references to publicly disclosed documents substantiating that the applicant has the operating procedures referred to in clause 22.2 of the </w:t>
      </w:r>
      <w:r w:rsidR="00EF72E5" w:rsidRPr="001A57E3">
        <w:rPr>
          <w:lang w:val="en-GB"/>
        </w:rPr>
        <w:t>Guidelines</w:t>
      </w:r>
      <w:r w:rsidR="00C62FAD" w:rsidRPr="001A57E3">
        <w:rPr>
          <w:lang w:val="en-GB"/>
        </w:rPr>
        <w:t xml:space="preserve"> for the management of rights arising from the results of intellectual property</w:t>
      </w:r>
      <w:r w:rsidR="00545694" w:rsidRPr="001A57E3">
        <w:rPr>
          <w:lang w:val="en-GB"/>
        </w:rPr>
        <w:t>;</w:t>
      </w:r>
    </w:p>
    <w:p w:rsidR="00420065" w:rsidRPr="001A57E3" w:rsidRDefault="00226BC0">
      <w:pPr>
        <w:ind w:firstLine="709"/>
        <w:jc w:val="both"/>
        <w:rPr>
          <w:lang w:val="en-GB"/>
        </w:rPr>
      </w:pPr>
      <w:r w:rsidRPr="001A57E3">
        <w:rPr>
          <w:lang w:val="en-GB"/>
        </w:rPr>
        <w:t>69</w:t>
      </w:r>
      <w:r w:rsidR="00BF6AD5" w:rsidRPr="001A57E3">
        <w:rPr>
          <w:lang w:val="en-GB"/>
        </w:rPr>
        <w:t>.</w:t>
      </w:r>
      <w:r w:rsidR="00113A31" w:rsidRPr="001A57E3">
        <w:rPr>
          <w:lang w:val="en-GB"/>
        </w:rPr>
        <w:t>1</w:t>
      </w:r>
      <w:r w:rsidR="006122E9" w:rsidRPr="001A57E3">
        <w:rPr>
          <w:lang w:val="en-GB"/>
        </w:rPr>
        <w:t>5</w:t>
      </w:r>
      <w:r w:rsidR="008261ED" w:rsidRPr="001A57E3">
        <w:rPr>
          <w:lang w:val="en-GB"/>
        </w:rPr>
        <w:t>.</w:t>
      </w:r>
      <w:r w:rsidR="00545694" w:rsidRPr="001A57E3">
        <w:rPr>
          <w:lang w:val="en-GB"/>
        </w:rPr>
        <w:t xml:space="preserve"> </w:t>
      </w:r>
      <w:proofErr w:type="gramStart"/>
      <w:r w:rsidR="004D73E7" w:rsidRPr="001A57E3">
        <w:rPr>
          <w:lang w:val="en-GB"/>
        </w:rPr>
        <w:t>a</w:t>
      </w:r>
      <w:proofErr w:type="gramEnd"/>
      <w:r w:rsidR="004D73E7" w:rsidRPr="001A57E3">
        <w:rPr>
          <w:lang w:val="en-GB"/>
        </w:rPr>
        <w:t xml:space="preserve"> completed form for the information necessary to evaluate the project's compliance with the project selection criteria (Annex 2 to the application)</w:t>
      </w:r>
      <w:r w:rsidR="00545694" w:rsidRPr="001A57E3">
        <w:rPr>
          <w:lang w:val="en-GB"/>
        </w:rPr>
        <w:t>;</w:t>
      </w:r>
    </w:p>
    <w:p w:rsidR="00420065" w:rsidRPr="001A57E3" w:rsidRDefault="00226BC0">
      <w:pPr>
        <w:ind w:firstLine="709"/>
        <w:jc w:val="both"/>
        <w:rPr>
          <w:lang w:val="en-GB"/>
        </w:rPr>
      </w:pPr>
      <w:r w:rsidRPr="001A57E3">
        <w:rPr>
          <w:lang w:val="en-GB"/>
        </w:rPr>
        <w:t>69</w:t>
      </w:r>
      <w:r w:rsidR="00BF6AD5" w:rsidRPr="001A57E3">
        <w:rPr>
          <w:lang w:val="en-GB"/>
        </w:rPr>
        <w:t>.</w:t>
      </w:r>
      <w:r w:rsidR="00113A31" w:rsidRPr="001A57E3">
        <w:rPr>
          <w:lang w:val="en-GB"/>
        </w:rPr>
        <w:t>1</w:t>
      </w:r>
      <w:r w:rsidR="006122E9" w:rsidRPr="001A57E3">
        <w:rPr>
          <w:lang w:val="en-GB"/>
        </w:rPr>
        <w:t>6</w:t>
      </w:r>
      <w:r w:rsidR="00545694" w:rsidRPr="001A57E3">
        <w:rPr>
          <w:lang w:val="en-GB"/>
        </w:rPr>
        <w:t xml:space="preserve">. </w:t>
      </w:r>
      <w:r w:rsidR="004D73E7" w:rsidRPr="001A57E3">
        <w:rPr>
          <w:lang w:val="en-GB"/>
        </w:rPr>
        <w:t xml:space="preserve">a declaration of the partner, a small and medium-sized business status, whose form is approved by Order No. 4-119 of the Minister of Economy of the Republic of Lithuania on 26 March 2008 </w:t>
      </w:r>
      <w:r w:rsidR="004D73E7" w:rsidRPr="001A57E3">
        <w:rPr>
          <w:i/>
          <w:lang w:val="en-GB"/>
        </w:rPr>
        <w:t xml:space="preserve">Regarding the approval of the </w:t>
      </w:r>
      <w:r w:rsidR="00EF72E5" w:rsidRPr="001A57E3">
        <w:rPr>
          <w:i/>
          <w:lang w:val="en-GB"/>
        </w:rPr>
        <w:t>Guidelines</w:t>
      </w:r>
      <w:r w:rsidR="004D73E7" w:rsidRPr="001A57E3">
        <w:rPr>
          <w:i/>
          <w:lang w:val="en-GB"/>
        </w:rPr>
        <w:t xml:space="preserve"> of the procedure for the declaration of small and medium-sized </w:t>
      </w:r>
      <w:r w:rsidR="009F375C" w:rsidRPr="001A57E3">
        <w:rPr>
          <w:i/>
          <w:lang w:val="en-GB"/>
        </w:rPr>
        <w:t>enterprise</w:t>
      </w:r>
      <w:r w:rsidR="004D73E7" w:rsidRPr="001A57E3">
        <w:rPr>
          <w:i/>
          <w:lang w:val="en-GB"/>
        </w:rPr>
        <w:t xml:space="preserve"> status, and the approval of the form of the declaration of the status of small and medium-sized entity</w:t>
      </w:r>
      <w:r w:rsidR="004D73E7" w:rsidRPr="001A57E3">
        <w:rPr>
          <w:lang w:val="en-GB"/>
        </w:rPr>
        <w:t>, and drawn up on the basis of the data of the most recent financial period (applicable if the application is submitted together with the partner(s)</w:t>
      </w:r>
      <w:r w:rsidR="004D73E7" w:rsidRPr="001A57E3">
        <w:rPr>
          <w:cs/>
          <w:lang w:val="en-GB"/>
        </w:rPr>
        <w:t>—</w:t>
      </w:r>
      <w:r w:rsidR="004D73E7" w:rsidRPr="001A57E3">
        <w:rPr>
          <w:lang w:val="en-GB"/>
        </w:rPr>
        <w:t>private legal entity(</w:t>
      </w:r>
      <w:proofErr w:type="spellStart"/>
      <w:r w:rsidR="004D73E7" w:rsidRPr="001A57E3">
        <w:rPr>
          <w:lang w:val="en-GB"/>
        </w:rPr>
        <w:t>ies</w:t>
      </w:r>
      <w:proofErr w:type="spellEnd"/>
      <w:r w:rsidR="004D73E7" w:rsidRPr="001A57E3">
        <w:rPr>
          <w:lang w:val="en-GB"/>
        </w:rPr>
        <w:t>))</w:t>
      </w:r>
      <w:r w:rsidR="00545694" w:rsidRPr="001A57E3">
        <w:rPr>
          <w:lang w:val="en-GB"/>
        </w:rPr>
        <w:t>;</w:t>
      </w:r>
    </w:p>
    <w:p w:rsidR="00FA638A" w:rsidRPr="001A57E3" w:rsidRDefault="00226BC0">
      <w:pPr>
        <w:ind w:firstLine="709"/>
        <w:jc w:val="both"/>
        <w:rPr>
          <w:lang w:val="en-GB"/>
        </w:rPr>
      </w:pPr>
      <w:r w:rsidRPr="001A57E3">
        <w:rPr>
          <w:lang w:val="en-GB"/>
        </w:rPr>
        <w:t>69</w:t>
      </w:r>
      <w:r w:rsidR="00BF6AD5" w:rsidRPr="001A57E3">
        <w:rPr>
          <w:lang w:val="en-GB"/>
        </w:rPr>
        <w:t>.</w:t>
      </w:r>
      <w:r w:rsidR="00113A31" w:rsidRPr="001A57E3">
        <w:rPr>
          <w:lang w:val="en-GB"/>
        </w:rPr>
        <w:t>1</w:t>
      </w:r>
      <w:r w:rsidR="006122E9" w:rsidRPr="001A57E3">
        <w:rPr>
          <w:lang w:val="en-GB"/>
        </w:rPr>
        <w:t>7</w:t>
      </w:r>
      <w:r w:rsidR="00545694" w:rsidRPr="001A57E3">
        <w:rPr>
          <w:lang w:val="en-GB"/>
        </w:rPr>
        <w:t xml:space="preserve">. </w:t>
      </w:r>
      <w:r w:rsidR="004D73E7" w:rsidRPr="001A57E3">
        <w:rPr>
          <w:lang w:val="en-GB"/>
        </w:rPr>
        <w:t>the documents distinguishing the Applicant</w:t>
      </w:r>
      <w:r w:rsidR="004D73E7" w:rsidRPr="001A57E3">
        <w:rPr>
          <w:cs/>
          <w:lang w:val="en-GB"/>
        </w:rPr>
        <w:t>’</w:t>
      </w:r>
      <w:r w:rsidR="004D73E7" w:rsidRPr="001A57E3">
        <w:rPr>
          <w:lang w:val="en-GB"/>
        </w:rPr>
        <w:t>s economic and non-economic activities (e.g. the most recent approved and the most recent interim financial statements, by specifying the Articles of the statement of financial position, and the performance statement by income financing sources, and the amounts, supporting the income/expenses of economic activity)</w:t>
      </w:r>
      <w:r w:rsidR="00FA638A" w:rsidRPr="001A57E3">
        <w:rPr>
          <w:lang w:val="en-GB"/>
        </w:rPr>
        <w:t>;</w:t>
      </w:r>
    </w:p>
    <w:p w:rsidR="00420065" w:rsidRPr="001A57E3" w:rsidRDefault="00226BC0">
      <w:pPr>
        <w:ind w:firstLine="709"/>
        <w:jc w:val="both"/>
        <w:rPr>
          <w:lang w:val="en-GB"/>
        </w:rPr>
      </w:pPr>
      <w:r w:rsidRPr="001A57E3">
        <w:rPr>
          <w:lang w:val="en-GB"/>
        </w:rPr>
        <w:t>69</w:t>
      </w:r>
      <w:r w:rsidR="00FA638A" w:rsidRPr="001A57E3">
        <w:rPr>
          <w:lang w:val="en-GB"/>
        </w:rPr>
        <w:t>.</w:t>
      </w:r>
      <w:r w:rsidR="00113A31" w:rsidRPr="001A57E3">
        <w:rPr>
          <w:lang w:val="en-GB"/>
        </w:rPr>
        <w:t>1</w:t>
      </w:r>
      <w:r w:rsidR="006122E9" w:rsidRPr="001A57E3">
        <w:rPr>
          <w:lang w:val="en-GB"/>
        </w:rPr>
        <w:t>8</w:t>
      </w:r>
      <w:r w:rsidR="00FA638A" w:rsidRPr="001A57E3">
        <w:rPr>
          <w:lang w:val="en-GB"/>
        </w:rPr>
        <w:t xml:space="preserve">. </w:t>
      </w:r>
      <w:r w:rsidR="004D73E7" w:rsidRPr="001A57E3">
        <w:rPr>
          <w:lang w:val="en-GB"/>
        </w:rPr>
        <w:t>a document issued by an authorised institution of another Member State, confirming the SME status of the partnering private legal entity(</w:t>
      </w:r>
      <w:proofErr w:type="spellStart"/>
      <w:r w:rsidR="004D73E7" w:rsidRPr="001A57E3">
        <w:rPr>
          <w:lang w:val="en-GB"/>
        </w:rPr>
        <w:t>ies</w:t>
      </w:r>
      <w:proofErr w:type="spellEnd"/>
      <w:r w:rsidR="004D73E7" w:rsidRPr="001A57E3">
        <w:rPr>
          <w:lang w:val="en-GB"/>
        </w:rPr>
        <w:t xml:space="preserve">) </w:t>
      </w:r>
      <w:r w:rsidR="00FA638A" w:rsidRPr="001A57E3">
        <w:rPr>
          <w:lang w:val="en-GB"/>
        </w:rPr>
        <w:t>(</w:t>
      </w:r>
      <w:r w:rsidR="004D73E7" w:rsidRPr="001A57E3">
        <w:rPr>
          <w:lang w:val="en-GB"/>
        </w:rPr>
        <w:t>applicable if the partner(s) (private legal entity(</w:t>
      </w:r>
      <w:proofErr w:type="spellStart"/>
      <w:r w:rsidR="004D73E7" w:rsidRPr="001A57E3">
        <w:rPr>
          <w:lang w:val="en-GB"/>
        </w:rPr>
        <w:t>ies</w:t>
      </w:r>
      <w:proofErr w:type="spellEnd"/>
      <w:r w:rsidR="004D73E7" w:rsidRPr="001A57E3">
        <w:rPr>
          <w:lang w:val="en-GB"/>
        </w:rPr>
        <w:t>)) is/are registered in another Member State</w:t>
      </w:r>
      <w:r w:rsidR="000E6FCF" w:rsidRPr="001A57E3">
        <w:rPr>
          <w:lang w:val="en-GB"/>
        </w:rPr>
        <w:t>);</w:t>
      </w:r>
    </w:p>
    <w:p w:rsidR="00A90F34" w:rsidRPr="001A57E3" w:rsidRDefault="00226BC0">
      <w:pPr>
        <w:ind w:firstLine="709"/>
        <w:jc w:val="both"/>
        <w:rPr>
          <w:lang w:val="en-GB"/>
        </w:rPr>
      </w:pPr>
      <w:r w:rsidRPr="001A57E3">
        <w:rPr>
          <w:lang w:val="en-GB"/>
        </w:rPr>
        <w:t>69</w:t>
      </w:r>
      <w:r w:rsidR="00D36B0E" w:rsidRPr="001A57E3">
        <w:rPr>
          <w:lang w:val="en-GB"/>
        </w:rPr>
        <w:t>.</w:t>
      </w:r>
      <w:r w:rsidR="00113A31" w:rsidRPr="001A57E3">
        <w:rPr>
          <w:lang w:val="en-GB"/>
        </w:rPr>
        <w:t>1</w:t>
      </w:r>
      <w:r w:rsidR="006122E9" w:rsidRPr="001A57E3">
        <w:rPr>
          <w:lang w:val="en-GB"/>
        </w:rPr>
        <w:t>9</w:t>
      </w:r>
      <w:r w:rsidR="00D36B0E" w:rsidRPr="001A57E3">
        <w:rPr>
          <w:lang w:val="en-GB"/>
        </w:rPr>
        <w:t xml:space="preserve">. </w:t>
      </w:r>
      <w:r w:rsidR="004D73E7" w:rsidRPr="001A57E3">
        <w:rPr>
          <w:lang w:val="en-GB"/>
        </w:rPr>
        <w:t>a letter, signed by the head of the partner institution or his authorised person, on the partner institution's capacity to implement the project and project implementation security (the sample form is published on the website of the EU structural support website www.esinvesticijos.lt and the implementing institution's website www.lmt.lt) (in Lithuanian)</w:t>
      </w:r>
      <w:r w:rsidR="00A90F34" w:rsidRPr="001A57E3">
        <w:rPr>
          <w:lang w:val="en-GB"/>
        </w:rPr>
        <w:t>.</w:t>
      </w:r>
    </w:p>
    <w:p w:rsidR="00420065" w:rsidRPr="001A57E3" w:rsidRDefault="00226BC0">
      <w:pPr>
        <w:ind w:firstLine="709"/>
        <w:jc w:val="both"/>
        <w:rPr>
          <w:shd w:val="clear" w:color="auto" w:fill="FFFFFF"/>
          <w:lang w:val="en-GB"/>
        </w:rPr>
      </w:pPr>
      <w:r w:rsidRPr="001A57E3">
        <w:rPr>
          <w:shd w:val="clear" w:color="auto" w:fill="FFFFFF"/>
          <w:lang w:val="en-GB"/>
        </w:rPr>
        <w:t>70</w:t>
      </w:r>
      <w:r w:rsidR="00545694" w:rsidRPr="001A57E3">
        <w:rPr>
          <w:shd w:val="clear" w:color="auto" w:fill="FFFFFF"/>
          <w:lang w:val="en-GB"/>
        </w:rPr>
        <w:t xml:space="preserve">. </w:t>
      </w:r>
      <w:r w:rsidR="004D73E7" w:rsidRPr="001A57E3">
        <w:rPr>
          <w:lang w:val="en-GB"/>
        </w:rPr>
        <w:t xml:space="preserve">The last day for the submission of applications shall be indicated in the call for proposals which is published at the internet website of the EU structural </w:t>
      </w:r>
      <w:r w:rsidR="009F375C" w:rsidRPr="001A57E3">
        <w:rPr>
          <w:lang w:val="en-GB"/>
        </w:rPr>
        <w:t>investment</w:t>
      </w:r>
      <w:r w:rsidR="004D73E7" w:rsidRPr="001A57E3">
        <w:rPr>
          <w:lang w:val="en-GB"/>
        </w:rPr>
        <w:t xml:space="preserve"> </w:t>
      </w:r>
      <w:hyperlink r:id="rId30" w:history="1">
        <w:r w:rsidR="004D73E7" w:rsidRPr="001A57E3">
          <w:rPr>
            <w:rStyle w:val="Hyperlink"/>
            <w:color w:val="000000"/>
            <w:lang w:val="en-GB"/>
          </w:rPr>
          <w:t>www.esinvesticijos.lt</w:t>
        </w:r>
      </w:hyperlink>
      <w:r w:rsidR="004D73E7" w:rsidRPr="001A57E3">
        <w:rPr>
          <w:rStyle w:val="Hyperlink"/>
          <w:color w:val="000000"/>
          <w:u w:val="none"/>
          <w:lang w:val="en-GB"/>
        </w:rPr>
        <w:t xml:space="preserve"> and the internet website of the Implementing authority</w:t>
      </w:r>
      <w:r w:rsidR="004D73E7" w:rsidRPr="001A57E3">
        <w:rPr>
          <w:rStyle w:val="Hyperlink"/>
          <w:color w:val="000000"/>
          <w:lang w:val="en-GB"/>
        </w:rPr>
        <w:t xml:space="preserve"> </w:t>
      </w:r>
      <w:hyperlink r:id="rId31" w:history="1">
        <w:r w:rsidR="004D73E7" w:rsidRPr="001A57E3">
          <w:rPr>
            <w:rStyle w:val="Hyperlink"/>
            <w:color w:val="000000"/>
            <w:lang w:val="en-GB"/>
          </w:rPr>
          <w:t>www.lmt.lt</w:t>
        </w:r>
      </w:hyperlink>
      <w:r w:rsidR="00545694" w:rsidRPr="001A57E3">
        <w:rPr>
          <w:shd w:val="clear" w:color="auto" w:fill="FFFFFF"/>
          <w:lang w:val="en-GB"/>
        </w:rPr>
        <w:t>.</w:t>
      </w:r>
    </w:p>
    <w:p w:rsidR="00420065" w:rsidRPr="001A57E3" w:rsidRDefault="00BF6AD5">
      <w:pPr>
        <w:ind w:firstLine="709"/>
        <w:jc w:val="both"/>
        <w:rPr>
          <w:lang w:val="en-GB" w:eastAsia="lt-LT"/>
        </w:rPr>
      </w:pPr>
      <w:r w:rsidRPr="001A57E3">
        <w:rPr>
          <w:lang w:val="en-GB" w:eastAsia="lt-LT"/>
        </w:rPr>
        <w:t>7</w:t>
      </w:r>
      <w:r w:rsidR="00226BC0" w:rsidRPr="001A57E3">
        <w:rPr>
          <w:lang w:val="en-GB" w:eastAsia="lt-LT"/>
        </w:rPr>
        <w:t>1</w:t>
      </w:r>
      <w:r w:rsidR="00545694" w:rsidRPr="001A57E3">
        <w:rPr>
          <w:lang w:val="en-GB" w:eastAsia="lt-LT"/>
        </w:rPr>
        <w:t xml:space="preserve">. </w:t>
      </w:r>
      <w:r w:rsidR="004D73E7" w:rsidRPr="001A57E3">
        <w:rPr>
          <w:lang w:val="en-GB"/>
        </w:rPr>
        <w:t xml:space="preserve">The applicants shall be informed and consulted in the manner set forth in Section 5 of the Project Regulations. </w:t>
      </w:r>
      <w:r w:rsidR="004D73E7" w:rsidRPr="001A57E3">
        <w:rPr>
          <w:color w:val="000000"/>
          <w:lang w:val="en-GB"/>
        </w:rPr>
        <w:t xml:space="preserve">The information about the persons providing consultations of the Implementing authority and their contact details shall be indicated in the notice on the call for proposals published according to the </w:t>
      </w:r>
      <w:r w:rsidR="00EF72E5" w:rsidRPr="001A57E3">
        <w:rPr>
          <w:color w:val="000000"/>
          <w:lang w:val="en-GB"/>
        </w:rPr>
        <w:t>Guidelines</w:t>
      </w:r>
      <w:r w:rsidR="00123501" w:rsidRPr="001A57E3">
        <w:rPr>
          <w:color w:val="000000"/>
          <w:lang w:val="en-GB"/>
        </w:rPr>
        <w:t xml:space="preserve"> on </w:t>
      </w:r>
      <w:r w:rsidR="004D73E7" w:rsidRPr="001A57E3">
        <w:rPr>
          <w:color w:val="000000"/>
          <w:lang w:val="en-GB"/>
        </w:rPr>
        <w:t xml:space="preserve">the website of the EU structural </w:t>
      </w:r>
      <w:r w:rsidR="009F375C" w:rsidRPr="001A57E3">
        <w:rPr>
          <w:color w:val="000000"/>
          <w:lang w:val="en-GB"/>
        </w:rPr>
        <w:t>investment</w:t>
      </w:r>
      <w:r w:rsidR="004D73E7" w:rsidRPr="001A57E3">
        <w:rPr>
          <w:color w:val="000000"/>
          <w:lang w:val="en-GB"/>
        </w:rPr>
        <w:t xml:space="preserve"> </w:t>
      </w:r>
      <w:hyperlink r:id="rId32" w:history="1">
        <w:r w:rsidR="004D73E7" w:rsidRPr="001A57E3">
          <w:rPr>
            <w:lang w:val="en-GB"/>
          </w:rPr>
          <w:t>www.esinvesticijos.lt</w:t>
        </w:r>
      </w:hyperlink>
      <w:r w:rsidR="004D73E7" w:rsidRPr="001A57E3">
        <w:rPr>
          <w:rStyle w:val="Hyperlink"/>
          <w:color w:val="auto"/>
          <w:u w:val="none"/>
          <w:lang w:val="en-GB"/>
        </w:rPr>
        <w:t xml:space="preserve"> and </w:t>
      </w:r>
      <w:r w:rsidR="004D73E7" w:rsidRPr="001A57E3">
        <w:rPr>
          <w:color w:val="000000"/>
          <w:lang w:val="en-GB"/>
        </w:rPr>
        <w:t xml:space="preserve">the website of the Implementing authority </w:t>
      </w:r>
      <w:hyperlink r:id="rId33" w:history="1">
        <w:r w:rsidR="004D73E7" w:rsidRPr="001A57E3">
          <w:rPr>
            <w:lang w:val="en-GB"/>
          </w:rPr>
          <w:t>www.lmt.lt</w:t>
        </w:r>
      </w:hyperlink>
      <w:r w:rsidR="00545694" w:rsidRPr="001A57E3">
        <w:rPr>
          <w:lang w:val="en-GB" w:eastAsia="lt-LT"/>
        </w:rPr>
        <w:t>.</w:t>
      </w:r>
    </w:p>
    <w:p w:rsidR="00420065" w:rsidRPr="001A57E3" w:rsidRDefault="00BF6AD5">
      <w:pPr>
        <w:ind w:firstLine="709"/>
        <w:jc w:val="both"/>
        <w:rPr>
          <w:shd w:val="clear" w:color="auto" w:fill="FFFFFF"/>
          <w:lang w:val="en-GB"/>
        </w:rPr>
      </w:pPr>
      <w:r w:rsidRPr="001A57E3">
        <w:rPr>
          <w:shd w:val="clear" w:color="auto" w:fill="FFFFFF"/>
          <w:lang w:val="en-GB"/>
        </w:rPr>
        <w:t>7</w:t>
      </w:r>
      <w:r w:rsidR="00226BC0" w:rsidRPr="001A57E3">
        <w:rPr>
          <w:shd w:val="clear" w:color="auto" w:fill="FFFFFF"/>
          <w:lang w:val="en-GB"/>
        </w:rPr>
        <w:t>2</w:t>
      </w:r>
      <w:r w:rsidR="00545694" w:rsidRPr="001A57E3">
        <w:rPr>
          <w:shd w:val="clear" w:color="auto" w:fill="FFFFFF"/>
          <w:lang w:val="en-GB"/>
        </w:rPr>
        <w:t xml:space="preserve">. </w:t>
      </w:r>
      <w:r w:rsidR="004D73E7" w:rsidRPr="001A57E3">
        <w:rPr>
          <w:lang w:val="en-GB"/>
        </w:rPr>
        <w:t>The Implementing authority shall carry out the project eligibility assessment in the procedure set forth in Sections 14 and 15 of the Project Regulations according to the requirements prescribed in Annex 1</w:t>
      </w:r>
      <w:r w:rsidR="004D73E7" w:rsidRPr="001A57E3">
        <w:rPr>
          <w:cs/>
          <w:lang w:val="en-GB"/>
        </w:rPr>
        <w:t xml:space="preserve"> </w:t>
      </w:r>
      <w:r w:rsidR="004D73E7" w:rsidRPr="001A57E3">
        <w:rPr>
          <w:lang w:val="en-GB"/>
        </w:rPr>
        <w:t xml:space="preserve">to the </w:t>
      </w:r>
      <w:r w:rsidR="00EF72E5" w:rsidRPr="001A57E3">
        <w:rPr>
          <w:lang w:val="en-GB"/>
        </w:rPr>
        <w:t>Guidelines</w:t>
      </w:r>
      <w:r w:rsidR="004D73E7" w:rsidRPr="001A57E3">
        <w:rPr>
          <w:lang w:val="en-GB"/>
        </w:rPr>
        <w:t xml:space="preserve"> as well as the analysis of the project</w:t>
      </w:r>
      <w:r w:rsidR="004D73E7" w:rsidRPr="001A57E3">
        <w:rPr>
          <w:cs/>
          <w:lang w:val="en-GB"/>
        </w:rPr>
        <w:t>’</w:t>
      </w:r>
      <w:r w:rsidR="004D73E7" w:rsidRPr="001A57E3">
        <w:rPr>
          <w:lang w:val="en-GB"/>
        </w:rPr>
        <w:t xml:space="preserve">s benefit and quality in the manner set forth in Sections 14 and 16 of the Project Regulations in accordance with the requirements set forth in Annex 2 to the </w:t>
      </w:r>
      <w:r w:rsidR="00EF72E5" w:rsidRPr="001A57E3">
        <w:rPr>
          <w:lang w:val="en-GB"/>
        </w:rPr>
        <w:t>Guidelines</w:t>
      </w:r>
      <w:r w:rsidR="00AC0E35" w:rsidRPr="001A57E3">
        <w:rPr>
          <w:shd w:val="clear" w:color="auto" w:fill="FFFFFF"/>
          <w:lang w:val="en-GB"/>
        </w:rPr>
        <w:t>.</w:t>
      </w:r>
    </w:p>
    <w:p w:rsidR="00420065" w:rsidRPr="001A57E3" w:rsidRDefault="00BF6AD5">
      <w:pPr>
        <w:ind w:firstLine="709"/>
        <w:jc w:val="both"/>
        <w:rPr>
          <w:shd w:val="clear" w:color="auto" w:fill="FFFFFF"/>
          <w:lang w:val="en-GB"/>
        </w:rPr>
      </w:pPr>
      <w:r w:rsidRPr="001A57E3">
        <w:rPr>
          <w:shd w:val="clear" w:color="auto" w:fill="FFFFFF"/>
          <w:lang w:val="en-GB"/>
        </w:rPr>
        <w:t>7</w:t>
      </w:r>
      <w:r w:rsidR="0097458B" w:rsidRPr="001A57E3">
        <w:rPr>
          <w:shd w:val="clear" w:color="auto" w:fill="FFFFFF"/>
          <w:lang w:val="en-GB"/>
        </w:rPr>
        <w:t>3</w:t>
      </w:r>
      <w:r w:rsidR="00545694" w:rsidRPr="001A57E3">
        <w:rPr>
          <w:shd w:val="clear" w:color="auto" w:fill="FFFFFF"/>
          <w:lang w:val="en-GB"/>
        </w:rPr>
        <w:t xml:space="preserve">. </w:t>
      </w:r>
      <w:r w:rsidR="004D73E7" w:rsidRPr="001A57E3">
        <w:rPr>
          <w:lang w:val="en-GB"/>
        </w:rPr>
        <w:t>The assessment of the applications shall be carried out in the following manner</w:t>
      </w:r>
      <w:r w:rsidR="00545694" w:rsidRPr="001A57E3">
        <w:rPr>
          <w:shd w:val="clear" w:color="auto" w:fill="FFFFFF"/>
          <w:lang w:val="en-GB"/>
        </w:rPr>
        <w:t>:</w:t>
      </w:r>
    </w:p>
    <w:p w:rsidR="00420065" w:rsidRPr="001A57E3" w:rsidRDefault="008F40AB">
      <w:pPr>
        <w:ind w:firstLine="709"/>
        <w:jc w:val="both"/>
        <w:rPr>
          <w:lang w:val="en-GB" w:eastAsia="lt-LT"/>
        </w:rPr>
      </w:pPr>
      <w:r w:rsidRPr="001A57E3">
        <w:rPr>
          <w:shd w:val="clear" w:color="auto" w:fill="FFFFFF"/>
          <w:lang w:val="en-GB"/>
        </w:rPr>
        <w:t>7</w:t>
      </w:r>
      <w:r w:rsidR="0097458B" w:rsidRPr="001A57E3">
        <w:rPr>
          <w:shd w:val="clear" w:color="auto" w:fill="FFFFFF"/>
          <w:lang w:val="en-GB"/>
        </w:rPr>
        <w:t>3</w:t>
      </w:r>
      <w:r w:rsidR="00545694" w:rsidRPr="001A57E3">
        <w:rPr>
          <w:shd w:val="clear" w:color="auto" w:fill="FFFFFF"/>
          <w:lang w:val="en-GB"/>
        </w:rPr>
        <w:t xml:space="preserve">.1. </w:t>
      </w:r>
      <w:proofErr w:type="gramStart"/>
      <w:r w:rsidR="00A51E5B" w:rsidRPr="001A57E3">
        <w:rPr>
          <w:lang w:val="en-GB"/>
        </w:rPr>
        <w:t>benefit</w:t>
      </w:r>
      <w:proofErr w:type="gramEnd"/>
      <w:r w:rsidR="00A51E5B" w:rsidRPr="001A57E3">
        <w:rPr>
          <w:lang w:val="en-GB"/>
        </w:rPr>
        <w:t xml:space="preserve"> and quality assessment</w:t>
      </w:r>
      <w:r w:rsidR="00545694" w:rsidRPr="001A57E3">
        <w:rPr>
          <w:lang w:val="en-GB" w:eastAsia="lt-LT"/>
        </w:rPr>
        <w:t>;</w:t>
      </w:r>
    </w:p>
    <w:p w:rsidR="00420065" w:rsidRPr="001A57E3" w:rsidRDefault="008F40AB">
      <w:pPr>
        <w:ind w:firstLine="709"/>
        <w:jc w:val="both"/>
        <w:rPr>
          <w:lang w:val="en-GB" w:eastAsia="lt-LT"/>
        </w:rPr>
      </w:pPr>
      <w:r w:rsidRPr="001A57E3">
        <w:rPr>
          <w:lang w:val="en-GB" w:eastAsia="lt-LT"/>
        </w:rPr>
        <w:t>7</w:t>
      </w:r>
      <w:r w:rsidR="0097458B" w:rsidRPr="001A57E3">
        <w:rPr>
          <w:lang w:val="en-GB" w:eastAsia="lt-LT"/>
        </w:rPr>
        <w:t>3</w:t>
      </w:r>
      <w:r w:rsidRPr="001A57E3">
        <w:rPr>
          <w:lang w:val="en-GB" w:eastAsia="lt-LT"/>
        </w:rPr>
        <w:t>.</w:t>
      </w:r>
      <w:r w:rsidR="00545694" w:rsidRPr="001A57E3">
        <w:rPr>
          <w:lang w:val="en-GB" w:eastAsia="lt-LT"/>
        </w:rPr>
        <w:t xml:space="preserve">2. </w:t>
      </w:r>
      <w:r w:rsidR="004D73E7" w:rsidRPr="001A57E3">
        <w:rPr>
          <w:lang w:val="en-GB"/>
        </w:rPr>
        <w:t xml:space="preserve">applications meeting the </w:t>
      </w:r>
      <w:r w:rsidR="00A51E5B" w:rsidRPr="001A57E3">
        <w:rPr>
          <w:lang w:val="en-GB"/>
        </w:rPr>
        <w:t xml:space="preserve">benefit and quality </w:t>
      </w:r>
      <w:r w:rsidR="004D73E7" w:rsidRPr="001A57E3">
        <w:rPr>
          <w:lang w:val="en-GB"/>
        </w:rPr>
        <w:t>requirements are further referred to the</w:t>
      </w:r>
      <w:r w:rsidR="00612922" w:rsidRPr="001A57E3">
        <w:rPr>
          <w:lang w:val="en-GB"/>
        </w:rPr>
        <w:t xml:space="preserve"> </w:t>
      </w:r>
      <w:r w:rsidR="004D73E7" w:rsidRPr="001A57E3">
        <w:rPr>
          <w:lang w:val="en-GB"/>
        </w:rPr>
        <w:t>assessment</w:t>
      </w:r>
      <w:r w:rsidR="00612922" w:rsidRPr="001A57E3">
        <w:rPr>
          <w:lang w:val="en-GB"/>
        </w:rPr>
        <w:t xml:space="preserve"> of the eligibility, which includes </w:t>
      </w:r>
      <w:r w:rsidR="00A51E5B" w:rsidRPr="001A57E3">
        <w:rPr>
          <w:lang w:val="en-GB"/>
        </w:rPr>
        <w:t xml:space="preserve">assessment of the compliance of the project to the requirements set forth in the </w:t>
      </w:r>
      <w:r w:rsidR="00EF72E5" w:rsidRPr="001A57E3">
        <w:rPr>
          <w:lang w:val="en-GB"/>
        </w:rPr>
        <w:t>Guidelines</w:t>
      </w:r>
      <w:r w:rsidR="00A51E5B" w:rsidRPr="001A57E3">
        <w:rPr>
          <w:lang w:val="en-GB"/>
        </w:rPr>
        <w:t xml:space="preserve"> specified in Annex 1 to the </w:t>
      </w:r>
      <w:r w:rsidR="00EF72E5" w:rsidRPr="001A57E3">
        <w:rPr>
          <w:lang w:val="en-GB"/>
        </w:rPr>
        <w:t>Guidelines</w:t>
      </w:r>
      <w:r w:rsidR="00A51E5B" w:rsidRPr="001A57E3">
        <w:rPr>
          <w:lang w:val="en-GB"/>
        </w:rPr>
        <w:t xml:space="preserve"> (i.e. assessing whether all documents and information have been attached to the application), the general requirements indicated in Annex 1 to the </w:t>
      </w:r>
      <w:r w:rsidR="00EF72E5" w:rsidRPr="001A57E3">
        <w:rPr>
          <w:lang w:val="en-GB"/>
        </w:rPr>
        <w:t>Guidelines</w:t>
      </w:r>
      <w:r w:rsidR="00A51E5B" w:rsidRPr="001A57E3">
        <w:rPr>
          <w:lang w:val="en-GB"/>
        </w:rPr>
        <w:t xml:space="preserve">, and the special project selection criteria specified in Article 22 of the </w:t>
      </w:r>
      <w:r w:rsidR="00EF72E5" w:rsidRPr="001A57E3">
        <w:rPr>
          <w:lang w:val="en-GB"/>
        </w:rPr>
        <w:t>Guidelines</w:t>
      </w:r>
      <w:r w:rsidR="00545694" w:rsidRPr="001A57E3">
        <w:rPr>
          <w:lang w:val="en-GB" w:eastAsia="lt-LT"/>
        </w:rPr>
        <w:t>.</w:t>
      </w:r>
    </w:p>
    <w:p w:rsidR="00420065" w:rsidRPr="001A57E3" w:rsidRDefault="008F40AB">
      <w:pPr>
        <w:ind w:firstLine="709"/>
        <w:jc w:val="both"/>
        <w:rPr>
          <w:rFonts w:eastAsia="Calibri"/>
          <w:shd w:val="clear" w:color="auto" w:fill="FFFFFF"/>
          <w:lang w:val="en-GB"/>
        </w:rPr>
      </w:pPr>
      <w:r w:rsidRPr="001A57E3">
        <w:rPr>
          <w:shd w:val="clear" w:color="auto" w:fill="FFFFFF"/>
          <w:lang w:val="en-GB"/>
        </w:rPr>
        <w:t>7</w:t>
      </w:r>
      <w:r w:rsidR="0097458B" w:rsidRPr="001A57E3">
        <w:rPr>
          <w:shd w:val="clear" w:color="auto" w:fill="FFFFFF"/>
          <w:lang w:val="en-GB"/>
        </w:rPr>
        <w:t>4</w:t>
      </w:r>
      <w:r w:rsidR="00545694" w:rsidRPr="001A57E3">
        <w:rPr>
          <w:shd w:val="clear" w:color="auto" w:fill="FFFFFF"/>
          <w:lang w:val="en-GB"/>
        </w:rPr>
        <w:t xml:space="preserve">. </w:t>
      </w:r>
      <w:r w:rsidR="004D73E7" w:rsidRPr="001A57E3">
        <w:rPr>
          <w:lang w:val="en-GB"/>
        </w:rPr>
        <w:t>Pending the benefit and quality assessment the applications are broken down into two groups</w:t>
      </w:r>
      <w:r w:rsidR="00545694" w:rsidRPr="001A57E3">
        <w:rPr>
          <w:rFonts w:eastAsia="Calibri"/>
          <w:shd w:val="clear" w:color="auto" w:fill="FFFFFF"/>
          <w:lang w:val="en-GB"/>
        </w:rPr>
        <w:t>:</w:t>
      </w:r>
    </w:p>
    <w:p w:rsidR="00420065" w:rsidRPr="001A57E3" w:rsidRDefault="008F40AB">
      <w:pPr>
        <w:ind w:firstLine="709"/>
        <w:jc w:val="both"/>
        <w:rPr>
          <w:rFonts w:eastAsia="Calibri"/>
          <w:shd w:val="clear" w:color="auto" w:fill="FFFFFF"/>
          <w:lang w:val="en-GB"/>
        </w:rPr>
      </w:pPr>
      <w:r w:rsidRPr="001A57E3">
        <w:rPr>
          <w:rFonts w:eastAsia="Calibri"/>
          <w:shd w:val="clear" w:color="auto" w:fill="FFFFFF"/>
          <w:lang w:val="en-GB"/>
        </w:rPr>
        <w:t>7</w:t>
      </w:r>
      <w:r w:rsidR="0097458B" w:rsidRPr="001A57E3">
        <w:rPr>
          <w:rFonts w:eastAsia="Calibri"/>
          <w:shd w:val="clear" w:color="auto" w:fill="FFFFFF"/>
          <w:lang w:val="en-GB"/>
        </w:rPr>
        <w:t>4</w:t>
      </w:r>
      <w:r w:rsidR="00545694" w:rsidRPr="001A57E3">
        <w:rPr>
          <w:rFonts w:eastAsia="Calibri"/>
          <w:shd w:val="clear" w:color="auto" w:fill="FFFFFF"/>
          <w:lang w:val="en-GB"/>
        </w:rPr>
        <w:t xml:space="preserve">.1. </w:t>
      </w:r>
      <w:proofErr w:type="gramStart"/>
      <w:r w:rsidR="004D73E7" w:rsidRPr="001A57E3">
        <w:rPr>
          <w:rFonts w:eastAsia="Calibri"/>
          <w:shd w:val="clear" w:color="auto" w:fill="FFFFFF"/>
          <w:lang w:val="en-GB"/>
        </w:rPr>
        <w:t>applications</w:t>
      </w:r>
      <w:proofErr w:type="gramEnd"/>
      <w:r w:rsidR="004D73E7" w:rsidRPr="001A57E3">
        <w:rPr>
          <w:rFonts w:eastAsia="Calibri"/>
          <w:shd w:val="clear" w:color="auto" w:fill="FFFFFF"/>
          <w:lang w:val="en-GB"/>
        </w:rPr>
        <w:t xml:space="preserve"> in social sciences</w:t>
      </w:r>
      <w:r w:rsidR="00545694" w:rsidRPr="001A57E3">
        <w:rPr>
          <w:rFonts w:eastAsia="Calibri"/>
          <w:shd w:val="clear" w:color="auto" w:fill="FFFFFF"/>
          <w:lang w:val="en-GB"/>
        </w:rPr>
        <w:t xml:space="preserve">, </w:t>
      </w:r>
    </w:p>
    <w:p w:rsidR="00420065" w:rsidRPr="001A57E3" w:rsidRDefault="008F40AB">
      <w:pPr>
        <w:ind w:firstLine="709"/>
        <w:jc w:val="both"/>
        <w:rPr>
          <w:rFonts w:eastAsia="Calibri"/>
          <w:shd w:val="clear" w:color="auto" w:fill="FFFFFF"/>
          <w:lang w:val="en-GB"/>
        </w:rPr>
      </w:pPr>
      <w:r w:rsidRPr="001A57E3">
        <w:rPr>
          <w:rFonts w:eastAsia="Calibri"/>
          <w:shd w:val="clear" w:color="auto" w:fill="FFFFFF"/>
          <w:lang w:val="en-GB"/>
        </w:rPr>
        <w:t>7</w:t>
      </w:r>
      <w:r w:rsidR="0097458B" w:rsidRPr="001A57E3">
        <w:rPr>
          <w:rFonts w:eastAsia="Calibri"/>
          <w:shd w:val="clear" w:color="auto" w:fill="FFFFFF"/>
          <w:lang w:val="en-GB"/>
        </w:rPr>
        <w:t>4</w:t>
      </w:r>
      <w:r w:rsidR="00545694" w:rsidRPr="001A57E3">
        <w:rPr>
          <w:rFonts w:eastAsia="Calibri"/>
          <w:shd w:val="clear" w:color="auto" w:fill="FFFFFF"/>
          <w:lang w:val="en-GB"/>
        </w:rPr>
        <w:t>.</w:t>
      </w:r>
      <w:r w:rsidR="00F87E84" w:rsidRPr="001A57E3">
        <w:rPr>
          <w:rFonts w:eastAsia="Calibri"/>
          <w:shd w:val="clear" w:color="auto" w:fill="FFFFFF"/>
          <w:lang w:val="en-GB"/>
        </w:rPr>
        <w:t>2</w:t>
      </w:r>
      <w:r w:rsidR="00545694" w:rsidRPr="001A57E3">
        <w:rPr>
          <w:rFonts w:eastAsia="Calibri"/>
          <w:shd w:val="clear" w:color="auto" w:fill="FFFFFF"/>
          <w:lang w:val="en-GB"/>
        </w:rPr>
        <w:t xml:space="preserve">. </w:t>
      </w:r>
      <w:proofErr w:type="gramStart"/>
      <w:r w:rsidR="004D73E7" w:rsidRPr="001A57E3">
        <w:rPr>
          <w:lang w:val="en-GB"/>
        </w:rPr>
        <w:t>applications</w:t>
      </w:r>
      <w:proofErr w:type="gramEnd"/>
      <w:r w:rsidR="004D73E7" w:rsidRPr="001A57E3">
        <w:rPr>
          <w:lang w:val="en-GB"/>
        </w:rPr>
        <w:t xml:space="preserve"> in physical, biomedicine, technologies and agriculture sciences</w:t>
      </w:r>
      <w:r w:rsidR="0058573D" w:rsidRPr="001A57E3">
        <w:rPr>
          <w:rFonts w:eastAsia="Calibri"/>
          <w:shd w:val="clear" w:color="auto" w:fill="FFFFFF"/>
          <w:lang w:val="en-GB"/>
        </w:rPr>
        <w:t>.</w:t>
      </w:r>
    </w:p>
    <w:p w:rsidR="00420065" w:rsidRPr="001A57E3" w:rsidRDefault="008F40AB">
      <w:pPr>
        <w:ind w:firstLine="709"/>
        <w:jc w:val="both"/>
        <w:rPr>
          <w:shd w:val="clear" w:color="auto" w:fill="FFFFFF"/>
          <w:lang w:val="en-GB"/>
        </w:rPr>
      </w:pPr>
      <w:r w:rsidRPr="001A57E3">
        <w:rPr>
          <w:shd w:val="clear" w:color="auto" w:fill="FFFFFF"/>
          <w:lang w:val="en-GB"/>
        </w:rPr>
        <w:t>7</w:t>
      </w:r>
      <w:r w:rsidR="0097458B" w:rsidRPr="001A57E3">
        <w:rPr>
          <w:shd w:val="clear" w:color="auto" w:fill="FFFFFF"/>
          <w:lang w:val="en-GB"/>
        </w:rPr>
        <w:t>5</w:t>
      </w:r>
      <w:r w:rsidR="00545694" w:rsidRPr="001A57E3">
        <w:rPr>
          <w:shd w:val="clear" w:color="auto" w:fill="FFFFFF"/>
          <w:lang w:val="en-GB"/>
        </w:rPr>
        <w:t xml:space="preserve">. </w:t>
      </w:r>
      <w:r w:rsidR="00C52338" w:rsidRPr="001A57E3">
        <w:rPr>
          <w:lang w:val="en-GB"/>
        </w:rPr>
        <w:t xml:space="preserve">Each section of the applications referred to in Article 74 is further broken down into application groups, taking into account the number of the applications, the number of applications according to research fields approved by Order No. V-1457 of the Minister for Education and Science on 16 October 2012 </w:t>
      </w:r>
      <w:proofErr w:type="gramStart"/>
      <w:r w:rsidR="00C52338" w:rsidRPr="001A57E3">
        <w:rPr>
          <w:i/>
          <w:lang w:val="en-GB"/>
        </w:rPr>
        <w:t>Regarding</w:t>
      </w:r>
      <w:proofErr w:type="gramEnd"/>
      <w:r w:rsidR="00C52338" w:rsidRPr="001A57E3">
        <w:rPr>
          <w:i/>
          <w:lang w:val="en-GB"/>
        </w:rPr>
        <w:t xml:space="preserve"> the approval of research fields</w:t>
      </w:r>
      <w:r w:rsidR="00C52338" w:rsidRPr="001A57E3">
        <w:rPr>
          <w:lang w:val="en-GB"/>
        </w:rPr>
        <w:t>. The number of applications within the groups should be no less than fifteen (except in the cases when the number of applications within the sections as per Article 74 is less than fifteen), and no larger than thirty. The groups of applications compiled by the Committee of Humanities and Social Sciences and/or the Committee of Natural and Technical Sciences of the Implementing Authority (hereinafter</w:t>
      </w:r>
      <w:r w:rsidR="00C52338" w:rsidRPr="001A57E3">
        <w:rPr>
          <w:cs/>
          <w:lang w:val="en-GB"/>
        </w:rPr>
        <w:t>—</w:t>
      </w:r>
      <w:r w:rsidR="00C52338" w:rsidRPr="001A57E3">
        <w:rPr>
          <w:lang w:val="en-GB"/>
        </w:rPr>
        <w:t>the Committee) shall be approved by an Order of the Chairman of the Implementing authority, and shall be, within five working days, published at the website of the Implementing Authority indicating a conditional name of the group of applications, and the codes of the applications assigned to the group</w:t>
      </w:r>
      <w:r w:rsidR="00545694" w:rsidRPr="001A57E3">
        <w:rPr>
          <w:rFonts w:eastAsia="Calibri"/>
          <w:lang w:val="en-GB"/>
        </w:rPr>
        <w:t>.</w:t>
      </w:r>
    </w:p>
    <w:p w:rsidR="00420065" w:rsidRPr="001A57E3" w:rsidRDefault="008F40AB" w:rsidP="00901FF1">
      <w:pPr>
        <w:ind w:firstLine="709"/>
        <w:jc w:val="both"/>
        <w:rPr>
          <w:szCs w:val="24"/>
          <w:lang w:val="en-GB"/>
        </w:rPr>
      </w:pPr>
      <w:r w:rsidRPr="001A57E3">
        <w:rPr>
          <w:szCs w:val="24"/>
          <w:lang w:val="en-GB"/>
        </w:rPr>
        <w:t>7</w:t>
      </w:r>
      <w:r w:rsidR="0097458B" w:rsidRPr="001A57E3">
        <w:rPr>
          <w:szCs w:val="24"/>
          <w:lang w:val="en-GB"/>
        </w:rPr>
        <w:t>6</w:t>
      </w:r>
      <w:r w:rsidR="00545694" w:rsidRPr="001A57E3">
        <w:rPr>
          <w:szCs w:val="24"/>
          <w:shd w:val="clear" w:color="auto" w:fill="FFFFFF"/>
          <w:lang w:val="en-GB"/>
        </w:rPr>
        <w:t xml:space="preserve">. </w:t>
      </w:r>
      <w:r w:rsidR="00C52338" w:rsidRPr="001A57E3">
        <w:rPr>
          <w:lang w:val="en-GB"/>
        </w:rPr>
        <w:t xml:space="preserve">The project benefit and quality assessment according to the criteria set forth in Articles 1–3 of Annex 2 to the </w:t>
      </w:r>
      <w:r w:rsidR="00EF72E5" w:rsidRPr="001A57E3">
        <w:rPr>
          <w:lang w:val="en-GB"/>
        </w:rPr>
        <w:t>Guidelines</w:t>
      </w:r>
      <w:r w:rsidR="00C52338" w:rsidRPr="001A57E3">
        <w:rPr>
          <w:lang w:val="en-GB"/>
        </w:rPr>
        <w:t xml:space="preserve"> shall be performed by the experts appointed in accordance with the expert appointment regulations, and having regard to Article 141</w:t>
      </w:r>
      <w:r w:rsidR="00C52338" w:rsidRPr="001A57E3">
        <w:rPr>
          <w:vertAlign w:val="superscript"/>
          <w:lang w:val="en-GB"/>
        </w:rPr>
        <w:t>1</w:t>
      </w:r>
      <w:r w:rsidR="00C52338" w:rsidRPr="001A57E3">
        <w:rPr>
          <w:lang w:val="en-GB"/>
        </w:rPr>
        <w:t xml:space="preserve"> of the Project Regulations, and in terms of the criteria referred to in Article 4 of Annex 2 to the </w:t>
      </w:r>
      <w:r w:rsidR="00EF72E5" w:rsidRPr="001A57E3">
        <w:rPr>
          <w:lang w:val="en-GB"/>
        </w:rPr>
        <w:t>Guidelines</w:t>
      </w:r>
      <w:r w:rsidR="00C52338" w:rsidRPr="001A57E3">
        <w:rPr>
          <w:lang w:val="en-GB"/>
        </w:rPr>
        <w:t xml:space="preserve"> the assessment shall be carried out by employees of the Implementing authority</w:t>
      </w:r>
      <w:r w:rsidR="00545694" w:rsidRPr="001A57E3">
        <w:rPr>
          <w:szCs w:val="24"/>
          <w:lang w:val="en-GB"/>
        </w:rPr>
        <w:t>.</w:t>
      </w:r>
    </w:p>
    <w:p w:rsidR="00420065" w:rsidRPr="001A57E3" w:rsidRDefault="008F40AB">
      <w:pPr>
        <w:ind w:firstLine="709"/>
        <w:jc w:val="both"/>
        <w:rPr>
          <w:lang w:val="en-GB" w:eastAsia="lt-LT"/>
        </w:rPr>
      </w:pPr>
      <w:r w:rsidRPr="001A57E3">
        <w:rPr>
          <w:lang w:val="en-GB" w:eastAsia="lt-LT"/>
        </w:rPr>
        <w:t>7</w:t>
      </w:r>
      <w:r w:rsidR="00A016BC" w:rsidRPr="001A57E3">
        <w:rPr>
          <w:lang w:val="en-GB" w:eastAsia="lt-LT"/>
        </w:rPr>
        <w:t>7</w:t>
      </w:r>
      <w:r w:rsidR="00545694" w:rsidRPr="001A57E3">
        <w:rPr>
          <w:lang w:val="en-GB" w:eastAsia="lt-LT"/>
        </w:rPr>
        <w:t xml:space="preserve">. </w:t>
      </w:r>
      <w:r w:rsidR="00C52338" w:rsidRPr="001A57E3">
        <w:rPr>
          <w:lang w:val="en-GB"/>
        </w:rPr>
        <w:t>In the course of an examination of an application, the Implementing Authority shall request the applicant to provide missing information and/or documents. The applicant shall provide the information and/or documents within the term set by the Implementing authority</w:t>
      </w:r>
      <w:r w:rsidR="00545694" w:rsidRPr="001A57E3">
        <w:rPr>
          <w:lang w:val="en-GB" w:eastAsia="lt-LT"/>
        </w:rPr>
        <w:t>.</w:t>
      </w:r>
    </w:p>
    <w:p w:rsidR="00420065" w:rsidRPr="001A57E3" w:rsidRDefault="008F40AB" w:rsidP="00B97C9E">
      <w:pPr>
        <w:ind w:firstLine="709"/>
        <w:jc w:val="both"/>
        <w:rPr>
          <w:shd w:val="clear" w:color="auto" w:fill="FFFFFF"/>
          <w:lang w:val="en-GB"/>
        </w:rPr>
      </w:pPr>
      <w:r w:rsidRPr="001A57E3">
        <w:rPr>
          <w:shd w:val="clear" w:color="auto" w:fill="FFFFFF"/>
          <w:lang w:val="en-GB"/>
        </w:rPr>
        <w:t>7</w:t>
      </w:r>
      <w:r w:rsidR="00A016BC" w:rsidRPr="001A57E3">
        <w:rPr>
          <w:shd w:val="clear" w:color="auto" w:fill="FFFFFF"/>
          <w:lang w:val="en-GB"/>
        </w:rPr>
        <w:t>8</w:t>
      </w:r>
      <w:r w:rsidR="00545694" w:rsidRPr="001A57E3">
        <w:rPr>
          <w:shd w:val="clear" w:color="auto" w:fill="FFFFFF"/>
          <w:lang w:val="en-GB"/>
        </w:rPr>
        <w:t xml:space="preserve">. </w:t>
      </w:r>
      <w:r w:rsidR="00C52338" w:rsidRPr="001A57E3">
        <w:rPr>
          <w:lang w:val="en-GB"/>
        </w:rPr>
        <w:t>The applications shall be examined for a period not longer than 90 days of the last day for the submission of applications indicated in the call for proposals</w:t>
      </w:r>
      <w:r w:rsidR="00545694" w:rsidRPr="001A57E3">
        <w:rPr>
          <w:shd w:val="clear" w:color="auto" w:fill="FFFFFF"/>
          <w:lang w:val="en-GB"/>
        </w:rPr>
        <w:t>.</w:t>
      </w:r>
    </w:p>
    <w:p w:rsidR="00420065" w:rsidRPr="001A57E3" w:rsidRDefault="0058573D">
      <w:pPr>
        <w:ind w:firstLine="709"/>
        <w:jc w:val="both"/>
        <w:rPr>
          <w:i/>
          <w:lang w:val="en-GB" w:eastAsia="lt-LT"/>
        </w:rPr>
      </w:pPr>
      <w:r w:rsidRPr="001A57E3">
        <w:rPr>
          <w:lang w:val="en-GB" w:eastAsia="lt-LT"/>
        </w:rPr>
        <w:t>7</w:t>
      </w:r>
      <w:r w:rsidR="00A016BC" w:rsidRPr="001A57E3">
        <w:rPr>
          <w:lang w:val="en-GB" w:eastAsia="lt-LT"/>
        </w:rPr>
        <w:t>9</w:t>
      </w:r>
      <w:r w:rsidR="00545694" w:rsidRPr="001A57E3">
        <w:rPr>
          <w:lang w:val="en-GB" w:eastAsia="lt-LT"/>
        </w:rPr>
        <w:t xml:space="preserve">. </w:t>
      </w:r>
      <w:r w:rsidR="00C52338" w:rsidRPr="001A57E3">
        <w:rPr>
          <w:lang w:val="en-GB"/>
        </w:rPr>
        <w:t xml:space="preserve">In case of a failure to evaluate the applications within the established term (when in relation to the assessment of the applications it is necessary to apply to other institutions, carry out </w:t>
      </w:r>
      <w:r w:rsidR="007271D5" w:rsidRPr="001A57E3">
        <w:rPr>
          <w:lang w:val="en-GB"/>
        </w:rPr>
        <w:t>an inspection</w:t>
      </w:r>
      <w:r w:rsidR="00C52338" w:rsidRPr="001A57E3">
        <w:rPr>
          <w:lang w:val="en-GB"/>
        </w:rPr>
        <w:t xml:space="preserve"> at project implementation and/or administration location, also in the cases when the amount of all applications received exceeds the amount allocated under the call for proposals), the implementation term may be extended upon a decision of the Implementing authority). The Implementing Authority shall notify the applicants of the new term for the examination of the applications through the DMS, and in case the functionalities of the DMS have not been installed, the applicants shall be notified in writing, and the Ministry and the Managing Authority through the 2014</w:t>
      </w:r>
      <w:r w:rsidR="00C52338" w:rsidRPr="001A57E3">
        <w:rPr>
          <w:cs/>
          <w:lang w:val="en-GB"/>
        </w:rPr>
        <w:t>–</w:t>
      </w:r>
      <w:r w:rsidR="00C52338" w:rsidRPr="001A57E3">
        <w:rPr>
          <w:lang w:val="en-GB"/>
        </w:rPr>
        <w:t xml:space="preserve">2020 European Union structural funds sub-system SMIS2014 of the European Union structural </w:t>
      </w:r>
      <w:r w:rsidR="009F375C" w:rsidRPr="001A57E3">
        <w:rPr>
          <w:lang w:val="en-GB"/>
        </w:rPr>
        <w:t>investment</w:t>
      </w:r>
      <w:r w:rsidR="00C52338" w:rsidRPr="001A57E3">
        <w:rPr>
          <w:lang w:val="en-GB"/>
        </w:rPr>
        <w:t xml:space="preserve"> computer-based information management and maintenance system, and in case the relevant functionalities have not been installed, the Implementing Authority shall in writing notify the reasons or the extension of the term</w:t>
      </w:r>
      <w:r w:rsidR="00545694" w:rsidRPr="001A57E3">
        <w:rPr>
          <w:i/>
          <w:lang w:val="en-GB" w:eastAsia="lt-LT"/>
        </w:rPr>
        <w:t>.</w:t>
      </w:r>
    </w:p>
    <w:p w:rsidR="00420065" w:rsidRPr="001A57E3" w:rsidRDefault="00A016BC">
      <w:pPr>
        <w:ind w:firstLine="709"/>
        <w:jc w:val="both"/>
        <w:rPr>
          <w:lang w:val="en-GB" w:eastAsia="lt-LT"/>
        </w:rPr>
      </w:pPr>
      <w:r w:rsidRPr="001A57E3">
        <w:rPr>
          <w:lang w:val="en-GB" w:eastAsia="lt-LT"/>
        </w:rPr>
        <w:t>80</w:t>
      </w:r>
      <w:r w:rsidR="00545694" w:rsidRPr="001A57E3">
        <w:rPr>
          <w:lang w:val="en-GB" w:eastAsia="lt-LT"/>
        </w:rPr>
        <w:t xml:space="preserve">. </w:t>
      </w:r>
      <w:r w:rsidR="00C52338" w:rsidRPr="001A57E3">
        <w:rPr>
          <w:lang w:val="en-GB"/>
        </w:rPr>
        <w:t xml:space="preserve">The application is rejected for reasons referred to in Articles 19 and 24 of the </w:t>
      </w:r>
      <w:r w:rsidR="00EF72E5" w:rsidRPr="001A57E3">
        <w:rPr>
          <w:lang w:val="en-GB"/>
        </w:rPr>
        <w:t>Guidelines</w:t>
      </w:r>
      <w:r w:rsidR="00C52338" w:rsidRPr="001A57E3">
        <w:rPr>
          <w:lang w:val="en-GB"/>
        </w:rPr>
        <w:t>, or Sections 14</w:t>
      </w:r>
      <w:r w:rsidR="00C52338" w:rsidRPr="001A57E3">
        <w:rPr>
          <w:cs/>
          <w:lang w:val="en-GB"/>
        </w:rPr>
        <w:t>–</w:t>
      </w:r>
      <w:r w:rsidR="00C52338" w:rsidRPr="001A57E3">
        <w:rPr>
          <w:lang w:val="en-GB"/>
        </w:rPr>
        <w:t>16 of the Project Regulations in the manner specified therein. An applicant shall be notified of a rejection of its application through the DMS, and in case the functionalities of the DMS have not yet been installed, the Applicant shall be notified in writing within 3 working days from the date of the decision to reject the application</w:t>
      </w:r>
      <w:r w:rsidR="00545694" w:rsidRPr="001A57E3">
        <w:rPr>
          <w:lang w:val="en-GB" w:eastAsia="lt-LT"/>
        </w:rPr>
        <w:t>.</w:t>
      </w:r>
    </w:p>
    <w:p w:rsidR="00420065" w:rsidRPr="001A57E3" w:rsidRDefault="008F40AB">
      <w:pPr>
        <w:ind w:firstLine="709"/>
        <w:jc w:val="both"/>
        <w:rPr>
          <w:lang w:val="en-GB"/>
        </w:rPr>
      </w:pPr>
      <w:r w:rsidRPr="001A57E3">
        <w:rPr>
          <w:lang w:val="en-GB" w:eastAsia="lt-LT"/>
        </w:rPr>
        <w:t>8</w:t>
      </w:r>
      <w:r w:rsidR="00A016BC" w:rsidRPr="001A57E3">
        <w:rPr>
          <w:lang w:val="en-GB" w:eastAsia="lt-LT"/>
        </w:rPr>
        <w:t>1</w:t>
      </w:r>
      <w:r w:rsidR="00545694" w:rsidRPr="001A57E3">
        <w:rPr>
          <w:lang w:val="en-GB" w:eastAsia="lt-LT"/>
        </w:rPr>
        <w:t xml:space="preserve">. </w:t>
      </w:r>
      <w:r w:rsidR="00C52338" w:rsidRPr="001A57E3">
        <w:rPr>
          <w:lang w:val="en-GB"/>
        </w:rPr>
        <w:t xml:space="preserve">The project benefit and quality assessment according to Article 76 of the </w:t>
      </w:r>
      <w:r w:rsidR="00EF72E5" w:rsidRPr="001A57E3">
        <w:rPr>
          <w:lang w:val="en-GB"/>
        </w:rPr>
        <w:t>Guidelines</w:t>
      </w:r>
      <w:r w:rsidR="00C52338" w:rsidRPr="001A57E3">
        <w:rPr>
          <w:lang w:val="en-GB"/>
        </w:rPr>
        <w:t xml:space="preserve"> shall be performed by foreign experts whose work shall consist of an individual assessment and an assessment by an expert panel. Three experts shall be appointed for the purpose of an individual assessment of each application; by a duly reasoned decision of the respective Committee an additional expert(s) may be appointed, in case the application provides for research of interdisciplinary nature. In the manner set forth in Article 75 of the </w:t>
      </w:r>
      <w:r w:rsidR="00EF72E5" w:rsidRPr="001A57E3">
        <w:rPr>
          <w:lang w:val="en-GB"/>
        </w:rPr>
        <w:t>Guidelines</w:t>
      </w:r>
      <w:r w:rsidR="00C52338" w:rsidRPr="001A57E3">
        <w:rPr>
          <w:lang w:val="en-GB"/>
        </w:rPr>
        <w:t xml:space="preserve"> expert panels for individual application groups shall be set up from the experts appointed to evaluate the applications in an individual procedure. An individual assessment is performed by experts individually without consulting the other members of the group regarding the assessment of a specific application. In the course of a group assessment the experts shall discuss the results of the individual assessment, and seek consensus concerning the assessment of each application. The assessment of a project by the expert panel and recorded in the minutes of the panel</w:t>
      </w:r>
      <w:r w:rsidR="00C52338" w:rsidRPr="001A57E3">
        <w:rPr>
          <w:cs/>
          <w:lang w:val="en-GB"/>
        </w:rPr>
        <w:t>’</w:t>
      </w:r>
      <w:r w:rsidR="00C52338" w:rsidRPr="001A57E3">
        <w:rPr>
          <w:lang w:val="en-GB"/>
        </w:rPr>
        <w:t>s meeting shall be considered the ultimate assessment of the project's benefit and quality</w:t>
      </w:r>
      <w:r w:rsidR="00545694" w:rsidRPr="001A57E3">
        <w:rPr>
          <w:lang w:val="en-GB"/>
        </w:rPr>
        <w:t>.</w:t>
      </w:r>
    </w:p>
    <w:p w:rsidR="00420065" w:rsidRPr="001A57E3" w:rsidRDefault="008F40AB">
      <w:pPr>
        <w:ind w:firstLine="709"/>
        <w:jc w:val="both"/>
        <w:rPr>
          <w:lang w:val="en-GB"/>
        </w:rPr>
      </w:pPr>
      <w:r w:rsidRPr="001A57E3">
        <w:rPr>
          <w:lang w:val="en-GB"/>
        </w:rPr>
        <w:t>8</w:t>
      </w:r>
      <w:r w:rsidR="00A016BC" w:rsidRPr="001A57E3">
        <w:rPr>
          <w:lang w:val="en-GB"/>
        </w:rPr>
        <w:t>2</w:t>
      </w:r>
      <w:r w:rsidR="00545694" w:rsidRPr="001A57E3">
        <w:rPr>
          <w:lang w:val="en-GB"/>
        </w:rPr>
        <w:t xml:space="preserve">. </w:t>
      </w:r>
      <w:r w:rsidR="00C52338" w:rsidRPr="001A57E3">
        <w:rPr>
          <w:lang w:val="en-GB"/>
        </w:rPr>
        <w:t>In case the research (activities) provided according to several applications for the same call essentially coincide, the eligible project shall be the one that has collected the highest score</w:t>
      </w:r>
      <w:r w:rsidR="00545694" w:rsidRPr="001A57E3">
        <w:rPr>
          <w:lang w:val="en-GB"/>
        </w:rPr>
        <w:t xml:space="preserve">. </w:t>
      </w:r>
    </w:p>
    <w:p w:rsidR="00420065" w:rsidRPr="001A57E3" w:rsidRDefault="008F40AB">
      <w:pPr>
        <w:ind w:firstLine="709"/>
        <w:jc w:val="both"/>
        <w:rPr>
          <w:lang w:val="en-GB"/>
        </w:rPr>
      </w:pPr>
      <w:r w:rsidRPr="001A57E3">
        <w:rPr>
          <w:lang w:val="en-GB"/>
        </w:rPr>
        <w:t>8</w:t>
      </w:r>
      <w:r w:rsidR="00A016BC" w:rsidRPr="001A57E3">
        <w:rPr>
          <w:lang w:val="en-GB"/>
        </w:rPr>
        <w:t>3</w:t>
      </w:r>
      <w:r w:rsidR="00545694" w:rsidRPr="001A57E3">
        <w:rPr>
          <w:lang w:val="en-GB"/>
        </w:rPr>
        <w:t xml:space="preserve">. </w:t>
      </w:r>
      <w:r w:rsidR="00C52338" w:rsidRPr="001A57E3">
        <w:rPr>
          <w:lang w:val="en-GB"/>
        </w:rPr>
        <w:t>Upon the completion of the project benefit and quality assessment, a project benefit and quality assessment report shall be drawn up for each application group. The report shall contain a list of evaluated applications ranked according to the score assigned to the applications within the framework of the benefit and quality assessment (from the highest down), while indicating the score assigned to the application according to each selection criterion. In case the projects tie, the project shall be ranked in accordance with the procedure set forth in Article 151 of the Project Regulations</w:t>
      </w:r>
      <w:r w:rsidR="00545694" w:rsidRPr="001A57E3">
        <w:rPr>
          <w:lang w:val="en-GB"/>
        </w:rPr>
        <w:t>.</w:t>
      </w:r>
    </w:p>
    <w:p w:rsidR="00501DFA" w:rsidRPr="001A57E3" w:rsidRDefault="0027312B" w:rsidP="00324E5E">
      <w:pPr>
        <w:ind w:firstLine="709"/>
        <w:jc w:val="both"/>
        <w:rPr>
          <w:lang w:val="en-GB"/>
        </w:rPr>
      </w:pPr>
      <w:r w:rsidRPr="001A57E3">
        <w:rPr>
          <w:lang w:val="en-GB"/>
        </w:rPr>
        <w:t>84</w:t>
      </w:r>
      <w:r w:rsidR="00501DFA" w:rsidRPr="001A57E3">
        <w:rPr>
          <w:lang w:val="en-GB"/>
        </w:rPr>
        <w:t xml:space="preserve">. </w:t>
      </w:r>
      <w:r w:rsidR="00C52338" w:rsidRPr="001A57E3">
        <w:rPr>
          <w:lang w:val="en-GB"/>
        </w:rPr>
        <w:t xml:space="preserve">Once the benefit and quality assessment is completed, </w:t>
      </w:r>
      <w:r w:rsidR="00324E5E" w:rsidRPr="001A57E3">
        <w:rPr>
          <w:lang w:val="en-GB"/>
        </w:rPr>
        <w:t xml:space="preserve">the </w:t>
      </w:r>
      <w:r w:rsidR="00324E5E" w:rsidRPr="001A57E3">
        <w:rPr>
          <w:lang w:val="en"/>
        </w:rPr>
        <w:t xml:space="preserve">assessment of the eligibility of the project is carried out and </w:t>
      </w:r>
      <w:r w:rsidR="001D0542" w:rsidRPr="001A57E3">
        <w:rPr>
          <w:lang w:val="en"/>
        </w:rPr>
        <w:t>a</w:t>
      </w:r>
      <w:r w:rsidR="00324E5E" w:rsidRPr="001A57E3">
        <w:rPr>
          <w:lang w:val="en"/>
        </w:rPr>
        <w:t xml:space="preserve"> report is drawn up which contains the results of the </w:t>
      </w:r>
      <w:r w:rsidR="001D0542" w:rsidRPr="001A57E3">
        <w:rPr>
          <w:lang w:val="en"/>
        </w:rPr>
        <w:t>assessment</w:t>
      </w:r>
      <w:r w:rsidR="00324E5E" w:rsidRPr="001A57E3">
        <w:rPr>
          <w:lang w:val="en"/>
        </w:rPr>
        <w:t xml:space="preserve"> of eligibility of </w:t>
      </w:r>
      <w:r w:rsidR="001D0542" w:rsidRPr="001A57E3">
        <w:rPr>
          <w:lang w:val="en"/>
        </w:rPr>
        <w:t xml:space="preserve">all </w:t>
      </w:r>
      <w:r w:rsidR="00324E5E" w:rsidRPr="001A57E3">
        <w:rPr>
          <w:lang w:val="en"/>
        </w:rPr>
        <w:t xml:space="preserve">applications that met the criteria </w:t>
      </w:r>
      <w:r w:rsidR="001D0542" w:rsidRPr="001A57E3">
        <w:rPr>
          <w:lang w:val="en"/>
        </w:rPr>
        <w:t>of</w:t>
      </w:r>
      <w:r w:rsidR="00324E5E" w:rsidRPr="001A57E3">
        <w:rPr>
          <w:lang w:val="en"/>
        </w:rPr>
        <w:t xml:space="preserve"> </w:t>
      </w:r>
      <w:r w:rsidR="001D0542" w:rsidRPr="001A57E3">
        <w:rPr>
          <w:lang w:val="en"/>
        </w:rPr>
        <w:t>project benefit and quality assessment</w:t>
      </w:r>
      <w:r w:rsidR="00324E5E" w:rsidRPr="001A57E3">
        <w:rPr>
          <w:lang w:val="en"/>
        </w:rPr>
        <w:t xml:space="preserve">. </w:t>
      </w:r>
      <w:r w:rsidR="001D0542" w:rsidRPr="001A57E3">
        <w:rPr>
          <w:lang w:val="en"/>
        </w:rPr>
        <w:t xml:space="preserve">While </w:t>
      </w:r>
      <w:r w:rsidR="00324E5E" w:rsidRPr="001A57E3">
        <w:rPr>
          <w:lang w:val="en"/>
        </w:rPr>
        <w:t>allocati</w:t>
      </w:r>
      <w:r w:rsidR="001D0542" w:rsidRPr="001A57E3">
        <w:rPr>
          <w:lang w:val="en"/>
        </w:rPr>
        <w:t>ng</w:t>
      </w:r>
      <w:r w:rsidR="00324E5E" w:rsidRPr="001A57E3">
        <w:rPr>
          <w:lang w:val="en"/>
        </w:rPr>
        <w:t xml:space="preserve"> </w:t>
      </w:r>
      <w:r w:rsidR="001D0542" w:rsidRPr="001A57E3">
        <w:rPr>
          <w:lang w:val="en"/>
        </w:rPr>
        <w:t xml:space="preserve">the </w:t>
      </w:r>
      <w:r w:rsidR="00324E5E" w:rsidRPr="001A57E3">
        <w:rPr>
          <w:lang w:val="en"/>
        </w:rPr>
        <w:t xml:space="preserve">funds for applications recognized </w:t>
      </w:r>
      <w:r w:rsidR="001D0542" w:rsidRPr="001A57E3">
        <w:rPr>
          <w:lang w:val="en"/>
        </w:rPr>
        <w:t xml:space="preserve">as </w:t>
      </w:r>
      <w:r w:rsidR="00324E5E" w:rsidRPr="001A57E3">
        <w:rPr>
          <w:lang w:val="en"/>
        </w:rPr>
        <w:t>eligible during the assessment of the eligibility of the project</w:t>
      </w:r>
      <w:r w:rsidR="00B72442" w:rsidRPr="001A57E3">
        <w:rPr>
          <w:lang w:val="en-GB"/>
        </w:rPr>
        <w:t xml:space="preserve">, </w:t>
      </w:r>
      <w:r w:rsidR="00C52338" w:rsidRPr="001A57E3">
        <w:rPr>
          <w:lang w:val="en-GB"/>
        </w:rPr>
        <w:t xml:space="preserve">only the projects assigned to the same smart specialisation area shall compete for funding. In case there is no competition in a specific smart specialisation area, the balance of the unallocated amounts may be distributed to the projects of other areas. Where according to the </w:t>
      </w:r>
      <w:r w:rsidR="00EF72E5" w:rsidRPr="001A57E3">
        <w:rPr>
          <w:lang w:val="en-GB"/>
        </w:rPr>
        <w:t>Guidelines</w:t>
      </w:r>
      <w:r w:rsidR="00123501" w:rsidRPr="001A57E3">
        <w:rPr>
          <w:lang w:val="en-GB"/>
        </w:rPr>
        <w:t xml:space="preserve"> </w:t>
      </w:r>
      <w:r w:rsidR="00C52338" w:rsidRPr="001A57E3">
        <w:rPr>
          <w:lang w:val="en-GB"/>
        </w:rPr>
        <w:t>the allocated amounts are not sufficient to fund all or some of the projects in the smart specialisation areas, and/or there is a balance of unallocated amounts, then</w:t>
      </w:r>
      <w:r w:rsidR="00501DFA" w:rsidRPr="001A57E3">
        <w:rPr>
          <w:lang w:val="en-GB"/>
        </w:rPr>
        <w:t>:</w:t>
      </w:r>
    </w:p>
    <w:p w:rsidR="00501DFA" w:rsidRPr="001A57E3" w:rsidRDefault="0027312B" w:rsidP="00501DFA">
      <w:pPr>
        <w:ind w:firstLine="709"/>
        <w:jc w:val="both"/>
        <w:rPr>
          <w:lang w:val="en-GB"/>
        </w:rPr>
      </w:pPr>
      <w:r w:rsidRPr="001A57E3">
        <w:rPr>
          <w:lang w:val="en-GB"/>
        </w:rPr>
        <w:t>84</w:t>
      </w:r>
      <w:r w:rsidR="00501DFA" w:rsidRPr="001A57E3">
        <w:rPr>
          <w:lang w:val="en-GB"/>
        </w:rPr>
        <w:t xml:space="preserve">.1. </w:t>
      </w:r>
      <w:r w:rsidR="00C52338" w:rsidRPr="001A57E3">
        <w:rPr>
          <w:lang w:val="en-GB"/>
        </w:rPr>
        <w:t>lists of the remaining positively evaluated projects by smart specialization areas is drawn up, within which the projects are ranked according to the score assigned to the applications within the framework of the quality assessment (from the highest down)</w:t>
      </w:r>
      <w:r w:rsidR="00501DFA" w:rsidRPr="001A57E3">
        <w:rPr>
          <w:lang w:val="en-GB"/>
        </w:rPr>
        <w:t>;</w:t>
      </w:r>
    </w:p>
    <w:p w:rsidR="00501DFA" w:rsidRPr="001A57E3" w:rsidRDefault="0027312B" w:rsidP="00501DFA">
      <w:pPr>
        <w:ind w:firstLine="709"/>
        <w:jc w:val="both"/>
        <w:rPr>
          <w:lang w:val="en-GB"/>
        </w:rPr>
      </w:pPr>
      <w:r w:rsidRPr="001A57E3">
        <w:rPr>
          <w:lang w:val="en-GB"/>
        </w:rPr>
        <w:t>84</w:t>
      </w:r>
      <w:r w:rsidR="00501DFA" w:rsidRPr="001A57E3">
        <w:rPr>
          <w:lang w:val="en-GB"/>
        </w:rPr>
        <w:t xml:space="preserve">.2. </w:t>
      </w:r>
      <w:proofErr w:type="gramStart"/>
      <w:r w:rsidR="00056B50" w:rsidRPr="001A57E3">
        <w:rPr>
          <w:lang w:val="en-GB"/>
        </w:rPr>
        <w:t>unallocated</w:t>
      </w:r>
      <w:proofErr w:type="gramEnd"/>
      <w:r w:rsidR="00056B50" w:rsidRPr="001A57E3">
        <w:rPr>
          <w:lang w:val="en-GB"/>
        </w:rPr>
        <w:t xml:space="preserve"> funds are allocated to the projects following the ranking compiled as per Sub-Article 84.1 of the </w:t>
      </w:r>
      <w:r w:rsidR="00EF72E5" w:rsidRPr="001A57E3">
        <w:rPr>
          <w:lang w:val="en-GB"/>
        </w:rPr>
        <w:t>Guidelines</w:t>
      </w:r>
      <w:r w:rsidR="00501DFA" w:rsidRPr="001A57E3">
        <w:rPr>
          <w:lang w:val="en-GB"/>
        </w:rPr>
        <w:t>.</w:t>
      </w:r>
    </w:p>
    <w:p w:rsidR="00420065" w:rsidRPr="001A57E3" w:rsidRDefault="002A44DA">
      <w:pPr>
        <w:ind w:firstLine="709"/>
        <w:jc w:val="both"/>
        <w:rPr>
          <w:lang w:val="en-GB"/>
        </w:rPr>
      </w:pPr>
      <w:r w:rsidRPr="001A57E3">
        <w:rPr>
          <w:lang w:val="en-GB"/>
        </w:rPr>
        <w:t>8</w:t>
      </w:r>
      <w:r w:rsidR="00A016BC" w:rsidRPr="001A57E3">
        <w:rPr>
          <w:lang w:val="en-GB"/>
        </w:rPr>
        <w:t>5</w:t>
      </w:r>
      <w:r w:rsidR="00545694" w:rsidRPr="001A57E3">
        <w:rPr>
          <w:lang w:val="en-GB"/>
        </w:rPr>
        <w:t xml:space="preserve">. </w:t>
      </w:r>
      <w:r w:rsidR="00056B50" w:rsidRPr="001A57E3">
        <w:rPr>
          <w:lang w:val="en-GB"/>
        </w:rPr>
        <w:t>Upon the completion of the assessment of the application a list of reserve projects may be compiled in the manner specified in Article 155 of the Project Regulations</w:t>
      </w:r>
      <w:r w:rsidR="00545694" w:rsidRPr="001A57E3">
        <w:rPr>
          <w:lang w:val="en-GB"/>
        </w:rPr>
        <w:t>.</w:t>
      </w:r>
    </w:p>
    <w:p w:rsidR="00420065" w:rsidRPr="001A57E3" w:rsidRDefault="002A44DA">
      <w:pPr>
        <w:ind w:firstLine="709"/>
        <w:jc w:val="both"/>
        <w:rPr>
          <w:lang w:val="en-GB" w:eastAsia="lt-LT"/>
        </w:rPr>
      </w:pPr>
      <w:r w:rsidRPr="001A57E3">
        <w:rPr>
          <w:lang w:val="en-GB" w:eastAsia="lt-LT"/>
        </w:rPr>
        <w:t>8</w:t>
      </w:r>
      <w:r w:rsidR="00A016BC" w:rsidRPr="001A57E3">
        <w:rPr>
          <w:lang w:val="en-GB" w:eastAsia="lt-LT"/>
        </w:rPr>
        <w:t>6</w:t>
      </w:r>
      <w:r w:rsidR="00545694" w:rsidRPr="001A57E3">
        <w:rPr>
          <w:lang w:val="en-GB" w:eastAsia="lt-LT"/>
        </w:rPr>
        <w:t xml:space="preserve">. </w:t>
      </w:r>
      <w:r w:rsidR="00056B50" w:rsidRPr="001A57E3">
        <w:rPr>
          <w:lang w:val="en-GB"/>
        </w:rPr>
        <w:t>The final discussion of the assessment of the applications shall be organ</w:t>
      </w:r>
      <w:r w:rsidR="00123501" w:rsidRPr="001A57E3">
        <w:rPr>
          <w:lang w:val="en-GB"/>
        </w:rPr>
        <w:t>ise</w:t>
      </w:r>
      <w:r w:rsidR="00056B50" w:rsidRPr="001A57E3">
        <w:rPr>
          <w:lang w:val="en-GB"/>
        </w:rPr>
        <w:t>d, and the composition of the group engaged in the discussion of the final assessment shall be approved by the Implementing Authority in the manner set forth in Article 146 of the Project Regulations. The principles of activities of the group engaged in the discussion of the final assessment shall be set forth in an Order approving the composition of the group, or in its Rules of Procedure</w:t>
      </w:r>
      <w:r w:rsidR="00545694" w:rsidRPr="001A57E3">
        <w:rPr>
          <w:lang w:val="en-GB" w:eastAsia="lt-LT"/>
        </w:rPr>
        <w:t>.</w:t>
      </w:r>
    </w:p>
    <w:p w:rsidR="00420065" w:rsidRPr="001A57E3" w:rsidRDefault="002A44DA">
      <w:pPr>
        <w:ind w:firstLine="709"/>
        <w:jc w:val="both"/>
        <w:rPr>
          <w:lang w:val="en-GB"/>
        </w:rPr>
      </w:pPr>
      <w:r w:rsidRPr="001A57E3">
        <w:rPr>
          <w:lang w:val="en-GB"/>
        </w:rPr>
        <w:t>8</w:t>
      </w:r>
      <w:r w:rsidR="00A016BC" w:rsidRPr="001A57E3">
        <w:rPr>
          <w:lang w:val="en-GB"/>
        </w:rPr>
        <w:t>7</w:t>
      </w:r>
      <w:r w:rsidR="00545694" w:rsidRPr="001A57E3">
        <w:rPr>
          <w:lang w:val="en-GB"/>
        </w:rPr>
        <w:t xml:space="preserve">. </w:t>
      </w:r>
      <w:r w:rsidR="00056B50" w:rsidRPr="001A57E3">
        <w:rPr>
          <w:lang w:val="en-GB"/>
        </w:rPr>
        <w:t xml:space="preserve">Having agreed with the Ministry the Implementing authority may decide not to hold a discussion of the final assessment of applications referred to in Article 86 of the </w:t>
      </w:r>
      <w:r w:rsidR="00EF72E5" w:rsidRPr="001A57E3">
        <w:rPr>
          <w:lang w:val="en-GB"/>
        </w:rPr>
        <w:t>Guidelines</w:t>
      </w:r>
      <w:r w:rsidR="00056B50" w:rsidRPr="001A57E3">
        <w:rPr>
          <w:lang w:val="en-GB"/>
        </w:rPr>
        <w:t xml:space="preserve"> provided the amount allocated is sufficient to fund all the applications submitted under </w:t>
      </w:r>
      <w:r w:rsidR="00B72442" w:rsidRPr="001A57E3">
        <w:rPr>
          <w:lang w:val="en-GB"/>
        </w:rPr>
        <w:t xml:space="preserve">the </w:t>
      </w:r>
      <w:r w:rsidR="00056B50" w:rsidRPr="001A57E3">
        <w:rPr>
          <w:lang w:val="en-GB"/>
        </w:rPr>
        <w:t>call and recogn</w:t>
      </w:r>
      <w:r w:rsidR="00123501" w:rsidRPr="001A57E3">
        <w:rPr>
          <w:lang w:val="en-GB"/>
        </w:rPr>
        <w:t>ise</w:t>
      </w:r>
      <w:r w:rsidR="00056B50" w:rsidRPr="001A57E3">
        <w:rPr>
          <w:lang w:val="en-GB"/>
        </w:rPr>
        <w:t>d as eligible within the framework of the assessment</w:t>
      </w:r>
      <w:r w:rsidR="00B747F2" w:rsidRPr="001A57E3">
        <w:rPr>
          <w:lang w:val="en-GB"/>
        </w:rPr>
        <w:t xml:space="preserve"> of the eligibility</w:t>
      </w:r>
      <w:r w:rsidR="00545694" w:rsidRPr="001A57E3">
        <w:rPr>
          <w:lang w:val="en-GB"/>
        </w:rPr>
        <w:t>.</w:t>
      </w:r>
    </w:p>
    <w:p w:rsidR="00420065" w:rsidRPr="001A57E3" w:rsidRDefault="002A44DA">
      <w:pPr>
        <w:ind w:firstLine="709"/>
        <w:jc w:val="both"/>
        <w:rPr>
          <w:lang w:val="en-GB" w:eastAsia="lt-LT"/>
        </w:rPr>
      </w:pPr>
      <w:r w:rsidRPr="001A57E3">
        <w:rPr>
          <w:lang w:val="en-GB" w:eastAsia="lt-LT"/>
        </w:rPr>
        <w:t>8</w:t>
      </w:r>
      <w:r w:rsidR="00A016BC" w:rsidRPr="001A57E3">
        <w:rPr>
          <w:lang w:val="en-GB" w:eastAsia="lt-LT"/>
        </w:rPr>
        <w:t>8</w:t>
      </w:r>
      <w:r w:rsidR="00545694" w:rsidRPr="001A57E3">
        <w:rPr>
          <w:lang w:val="en-GB" w:eastAsia="lt-LT"/>
        </w:rPr>
        <w:t xml:space="preserve">. </w:t>
      </w:r>
      <w:r w:rsidR="00056B50" w:rsidRPr="001A57E3">
        <w:rPr>
          <w:lang w:val="en-GB"/>
        </w:rPr>
        <w:t>Having completed the assessment of the applications the Implementing authority s</w:t>
      </w:r>
      <w:r w:rsidR="009F375C" w:rsidRPr="001A57E3">
        <w:rPr>
          <w:lang w:val="en-GB"/>
        </w:rPr>
        <w:t>hall draw up a report of</w:t>
      </w:r>
      <w:r w:rsidR="00056B50" w:rsidRPr="001A57E3">
        <w:rPr>
          <w:lang w:val="en-GB"/>
        </w:rPr>
        <w:t xml:space="preserve"> the selected reports in accordance with the provisions of Section 17 of the Project Regulations</w:t>
      </w:r>
      <w:r w:rsidR="00545694" w:rsidRPr="001A57E3">
        <w:rPr>
          <w:lang w:val="en-GB" w:eastAsia="lt-LT"/>
        </w:rPr>
        <w:t>.</w:t>
      </w:r>
    </w:p>
    <w:p w:rsidR="00420065" w:rsidRPr="001A57E3" w:rsidRDefault="00A016BC">
      <w:pPr>
        <w:ind w:firstLine="709"/>
        <w:jc w:val="both"/>
        <w:rPr>
          <w:shd w:val="clear" w:color="auto" w:fill="FFFFFF"/>
          <w:lang w:val="en-GB"/>
        </w:rPr>
      </w:pPr>
      <w:r w:rsidRPr="001A57E3">
        <w:rPr>
          <w:rFonts w:eastAsia="Calibri"/>
          <w:lang w:val="en-GB"/>
        </w:rPr>
        <w:t>89</w:t>
      </w:r>
      <w:r w:rsidR="00545694" w:rsidRPr="001A57E3">
        <w:rPr>
          <w:rFonts w:eastAsia="Calibri"/>
          <w:lang w:val="en-GB"/>
        </w:rPr>
        <w:t xml:space="preserve">. </w:t>
      </w:r>
      <w:r w:rsidR="00056B50" w:rsidRPr="001A57E3">
        <w:rPr>
          <w:lang w:val="en-GB"/>
        </w:rPr>
        <w:t>Having completed the assessment of applications and their selection the Implementing Authority shall pass a decision regarding funding the projects or refusal to fund them; the decision shall be approved by an Order of the Chairman of the Council or his author</w:t>
      </w:r>
      <w:r w:rsidR="00123501" w:rsidRPr="001A57E3">
        <w:rPr>
          <w:lang w:val="en-GB"/>
        </w:rPr>
        <w:t>ise</w:t>
      </w:r>
      <w:r w:rsidR="00056B50" w:rsidRPr="001A57E3">
        <w:rPr>
          <w:lang w:val="en-GB"/>
        </w:rPr>
        <w:t xml:space="preserve">d person. The information about the decision on funding  the projects, the amount allocated to each project and the total funding amount allocated under the call for proposals  </w:t>
      </w:r>
      <w:r w:rsidR="00056B50" w:rsidRPr="001A57E3">
        <w:rPr>
          <w:color w:val="000000"/>
          <w:lang w:val="en-GB"/>
        </w:rPr>
        <w:t xml:space="preserve">shall be within no later than 7 days of the passing the decision </w:t>
      </w:r>
      <w:r w:rsidR="00056B50" w:rsidRPr="001A57E3">
        <w:rPr>
          <w:rStyle w:val="Hyperlink"/>
          <w:color w:val="000000"/>
          <w:u w:val="none"/>
          <w:lang w:val="en-GB"/>
        </w:rPr>
        <w:t>published in the website</w:t>
      </w:r>
      <w:r w:rsidR="00056B50" w:rsidRPr="001A57E3">
        <w:rPr>
          <w:rStyle w:val="Hyperlink"/>
          <w:lang w:val="en-GB"/>
        </w:rPr>
        <w:t xml:space="preserve"> </w:t>
      </w:r>
      <w:hyperlink r:id="rId34" w:history="1">
        <w:r w:rsidR="00056B50" w:rsidRPr="001A57E3">
          <w:rPr>
            <w:color w:val="000000"/>
            <w:lang w:val="en-GB"/>
          </w:rPr>
          <w:t>www.esinvesticijos.lt</w:t>
        </w:r>
      </w:hyperlink>
      <w:r w:rsidR="00056B50" w:rsidRPr="001A57E3">
        <w:rPr>
          <w:rStyle w:val="Hyperlink"/>
          <w:color w:val="000000"/>
          <w:u w:val="none"/>
          <w:lang w:val="en-GB"/>
        </w:rPr>
        <w:t xml:space="preserve"> and </w:t>
      </w:r>
      <w:r w:rsidR="00056B50" w:rsidRPr="001A57E3">
        <w:rPr>
          <w:color w:val="000000"/>
          <w:lang w:val="en-GB"/>
        </w:rPr>
        <w:t>the</w:t>
      </w:r>
      <w:r w:rsidR="00056B50" w:rsidRPr="001A57E3">
        <w:rPr>
          <w:lang w:val="en-GB"/>
        </w:rPr>
        <w:t xml:space="preserve"> website of the Implementing Authority</w:t>
      </w:r>
      <w:r w:rsidR="00056B50" w:rsidRPr="001A57E3">
        <w:rPr>
          <w:color w:val="000000"/>
          <w:lang w:val="en-GB"/>
        </w:rPr>
        <w:t xml:space="preserve"> </w:t>
      </w:r>
      <w:hyperlink r:id="rId35" w:history="1">
        <w:r w:rsidR="00056B50" w:rsidRPr="001A57E3">
          <w:rPr>
            <w:rStyle w:val="Hyperlink"/>
            <w:lang w:val="en-GB"/>
          </w:rPr>
          <w:t>www.lmt.lt</w:t>
        </w:r>
      </w:hyperlink>
      <w:r w:rsidR="00056B50" w:rsidRPr="001A57E3">
        <w:rPr>
          <w:color w:val="000000"/>
          <w:lang w:val="en-GB"/>
        </w:rPr>
        <w:t>; the applicants shall be accordingly notified through the DMS, and in case such functionalities of the DMS have not yet been installed the applicants shall be notified in writing (does not apply in case the applications were rejected in the course of the assessment)</w:t>
      </w:r>
      <w:r w:rsidR="00545694" w:rsidRPr="001A57E3">
        <w:rPr>
          <w:shd w:val="clear" w:color="auto" w:fill="FFFFFF"/>
          <w:lang w:val="en-GB"/>
        </w:rPr>
        <w:t>.</w:t>
      </w:r>
    </w:p>
    <w:p w:rsidR="00420065" w:rsidRPr="001A57E3" w:rsidRDefault="00A016BC">
      <w:pPr>
        <w:ind w:firstLine="709"/>
        <w:jc w:val="both"/>
        <w:rPr>
          <w:lang w:val="en-GB" w:eastAsia="lt-LT"/>
        </w:rPr>
      </w:pPr>
      <w:r w:rsidRPr="001A57E3">
        <w:rPr>
          <w:lang w:val="en-GB" w:eastAsia="lt-LT"/>
        </w:rPr>
        <w:t>90</w:t>
      </w:r>
      <w:r w:rsidR="00545694" w:rsidRPr="001A57E3">
        <w:rPr>
          <w:lang w:val="en-GB" w:eastAsia="lt-LT"/>
        </w:rPr>
        <w:t xml:space="preserve">. </w:t>
      </w:r>
      <w:r w:rsidR="00056B50" w:rsidRPr="001A57E3">
        <w:rPr>
          <w:lang w:val="en-GB"/>
        </w:rPr>
        <w:t xml:space="preserve">Within 14 days from the end of the assessment of the applications the Implementing authority shall at the website </w:t>
      </w:r>
      <w:hyperlink r:id="rId36" w:history="1">
        <w:r w:rsidR="00056B50" w:rsidRPr="001A57E3">
          <w:rPr>
            <w:rStyle w:val="Hyperlink"/>
            <w:color w:val="000000"/>
            <w:lang w:val="en-GB"/>
          </w:rPr>
          <w:t>www.esinvesticijos.lt</w:t>
        </w:r>
      </w:hyperlink>
      <w:r w:rsidR="00056B50" w:rsidRPr="001A57E3">
        <w:rPr>
          <w:rStyle w:val="Hyperlink"/>
          <w:color w:val="000000"/>
          <w:u w:val="none"/>
          <w:lang w:val="en-GB"/>
        </w:rPr>
        <w:t xml:space="preserve"> </w:t>
      </w:r>
      <w:r w:rsidR="00056B50" w:rsidRPr="001A57E3">
        <w:rPr>
          <w:lang w:val="en-GB"/>
        </w:rPr>
        <w:t>publish a list of Applicants whose projects were selected for funding, and the Applicants shall be specifically informed thereof through the DMS, or in writing, in case the DMS functionalities have not be</w:t>
      </w:r>
      <w:r w:rsidR="000951BF" w:rsidRPr="001A57E3">
        <w:rPr>
          <w:lang w:val="en-GB"/>
        </w:rPr>
        <w:t>en</w:t>
      </w:r>
      <w:r w:rsidR="00056B50" w:rsidRPr="001A57E3">
        <w:rPr>
          <w:lang w:val="en-GB"/>
        </w:rPr>
        <w:t xml:space="preserve"> made available</w:t>
      </w:r>
      <w:r w:rsidR="00545694" w:rsidRPr="001A57E3">
        <w:rPr>
          <w:lang w:val="en-GB" w:eastAsia="lt-LT"/>
        </w:rPr>
        <w:t>.</w:t>
      </w:r>
    </w:p>
    <w:p w:rsidR="00420065" w:rsidRPr="001A57E3" w:rsidRDefault="002A44DA">
      <w:pPr>
        <w:ind w:firstLine="709"/>
        <w:jc w:val="both"/>
        <w:rPr>
          <w:shd w:val="clear" w:color="auto" w:fill="FFFFFF"/>
          <w:lang w:val="en-GB"/>
        </w:rPr>
      </w:pPr>
      <w:r w:rsidRPr="001A57E3">
        <w:rPr>
          <w:lang w:val="en-GB" w:eastAsia="lt-LT"/>
        </w:rPr>
        <w:t>9</w:t>
      </w:r>
      <w:r w:rsidR="00A016BC" w:rsidRPr="001A57E3">
        <w:rPr>
          <w:lang w:val="en-GB" w:eastAsia="lt-LT"/>
        </w:rPr>
        <w:t>1</w:t>
      </w:r>
      <w:r w:rsidR="00545694" w:rsidRPr="001A57E3">
        <w:rPr>
          <w:lang w:val="en-GB" w:eastAsia="lt-LT"/>
        </w:rPr>
        <w:t xml:space="preserve">. </w:t>
      </w:r>
      <w:r w:rsidR="00056B50" w:rsidRPr="001A57E3">
        <w:rPr>
          <w:color w:val="000000"/>
          <w:lang w:val="en-GB"/>
        </w:rPr>
        <w:t xml:space="preserve">Within </w:t>
      </w:r>
      <w:r w:rsidR="00197BF7" w:rsidRPr="001A57E3">
        <w:rPr>
          <w:color w:val="000000"/>
          <w:lang w:val="en-GB"/>
        </w:rPr>
        <w:t>3</w:t>
      </w:r>
      <w:r w:rsidR="00056B50" w:rsidRPr="001A57E3">
        <w:rPr>
          <w:color w:val="000000"/>
          <w:lang w:val="en-GB"/>
        </w:rPr>
        <w:t xml:space="preserve"> working days of the </w:t>
      </w:r>
      <w:r w:rsidR="00197BF7" w:rsidRPr="001A57E3">
        <w:rPr>
          <w:color w:val="000000"/>
          <w:lang w:val="en-GB"/>
        </w:rPr>
        <w:t xml:space="preserve">dispatch </w:t>
      </w:r>
      <w:r w:rsidR="00056B50" w:rsidRPr="001A57E3">
        <w:rPr>
          <w:color w:val="000000"/>
          <w:lang w:val="en-GB"/>
        </w:rPr>
        <w:t>of the information about the past decision regarding the assessment of the application, the Applicant shall have a right to submit an appeal regarding the assessment of benefit and quality of the application to the Implementing authority in the procedure set forth thereby</w:t>
      </w:r>
      <w:r w:rsidR="00545694" w:rsidRPr="001A57E3">
        <w:rPr>
          <w:lang w:val="en-GB"/>
        </w:rPr>
        <w:t>.</w:t>
      </w:r>
    </w:p>
    <w:p w:rsidR="00420065" w:rsidRPr="001A57E3" w:rsidRDefault="002A44DA">
      <w:pPr>
        <w:ind w:firstLine="709"/>
        <w:jc w:val="both"/>
        <w:rPr>
          <w:lang w:val="en-GB" w:eastAsia="lt-LT"/>
        </w:rPr>
      </w:pPr>
      <w:r w:rsidRPr="001A57E3">
        <w:rPr>
          <w:lang w:val="en-GB" w:eastAsia="lt-LT"/>
        </w:rPr>
        <w:t>9</w:t>
      </w:r>
      <w:r w:rsidR="00A016BC" w:rsidRPr="001A57E3">
        <w:rPr>
          <w:lang w:val="en-GB" w:eastAsia="lt-LT"/>
        </w:rPr>
        <w:t>2</w:t>
      </w:r>
      <w:r w:rsidR="00545694" w:rsidRPr="001A57E3">
        <w:rPr>
          <w:lang w:val="en-GB" w:eastAsia="lt-LT"/>
        </w:rPr>
        <w:t xml:space="preserve">. </w:t>
      </w:r>
      <w:r w:rsidR="00056B50" w:rsidRPr="001A57E3">
        <w:rPr>
          <w:lang w:val="en-GB"/>
        </w:rPr>
        <w:t>The applicant shall have a right to appeal the decision to reject the application in the procedure set forth in Section 43 of the Project Regulations no later than within 14 days from the day on which the applicant learned or should have learned about the contested actions of the Implementing authority or the omission</w:t>
      </w:r>
      <w:r w:rsidR="00545694" w:rsidRPr="001A57E3">
        <w:rPr>
          <w:lang w:val="en-GB" w:eastAsia="lt-LT"/>
        </w:rPr>
        <w:t>.</w:t>
      </w:r>
    </w:p>
    <w:p w:rsidR="00420065" w:rsidRPr="001A57E3" w:rsidRDefault="002A44DA">
      <w:pPr>
        <w:ind w:firstLine="709"/>
        <w:jc w:val="both"/>
        <w:rPr>
          <w:lang w:val="en-GB" w:eastAsia="lt-LT"/>
        </w:rPr>
      </w:pPr>
      <w:r w:rsidRPr="001A57E3">
        <w:rPr>
          <w:lang w:val="en-GB" w:eastAsia="lt-LT"/>
        </w:rPr>
        <w:t>9</w:t>
      </w:r>
      <w:r w:rsidR="00A016BC" w:rsidRPr="001A57E3">
        <w:rPr>
          <w:lang w:val="en-GB" w:eastAsia="lt-LT"/>
        </w:rPr>
        <w:t>3</w:t>
      </w:r>
      <w:r w:rsidR="00545694" w:rsidRPr="001A57E3">
        <w:rPr>
          <w:lang w:val="en-GB" w:eastAsia="lt-LT"/>
        </w:rPr>
        <w:t xml:space="preserve">. </w:t>
      </w:r>
      <w:r w:rsidR="00056B50" w:rsidRPr="001A57E3">
        <w:rPr>
          <w:lang w:val="en-GB"/>
        </w:rPr>
        <w:t xml:space="preserve">Having completed the assessment of the applications the Implementing Authority shall, in the manner set forth in Section 18 of the Project Regulations, and using the form provided in Annex 5 to the </w:t>
      </w:r>
      <w:r w:rsidR="00EF72E5" w:rsidRPr="001A57E3">
        <w:rPr>
          <w:lang w:val="en-GB"/>
        </w:rPr>
        <w:t>Guidelines</w:t>
      </w:r>
      <w:r w:rsidR="00056B50" w:rsidRPr="001A57E3">
        <w:rPr>
          <w:lang w:val="en-GB"/>
        </w:rPr>
        <w:t xml:space="preserve"> draw up and submit to the applicant a draft Grant Agreement and indicate the term of the validity of the offer to sign the Grant Agreement. Where within the term of validity of the offer set by the Implementing Authority the applicant fails to sign the Grant Agreement, the offer to sign the Grant Agreement shall be considered expired. The applicant shall have a right to apply to the Implementing authority with a request to change the term for signing the Grant Agreement in view of objective reasons beyond the control of the Applicant</w:t>
      </w:r>
      <w:r w:rsidR="00545694" w:rsidRPr="001A57E3">
        <w:rPr>
          <w:lang w:val="en-GB" w:eastAsia="lt-LT"/>
        </w:rPr>
        <w:t>.</w:t>
      </w:r>
    </w:p>
    <w:p w:rsidR="00420065" w:rsidRPr="001A57E3" w:rsidRDefault="00545694">
      <w:pPr>
        <w:ind w:firstLine="709"/>
        <w:jc w:val="both"/>
        <w:rPr>
          <w:lang w:val="en-GB" w:eastAsia="lt-LT"/>
        </w:rPr>
      </w:pPr>
      <w:r w:rsidRPr="001A57E3">
        <w:rPr>
          <w:lang w:val="en-GB" w:eastAsia="lt-LT"/>
        </w:rPr>
        <w:t>9</w:t>
      </w:r>
      <w:r w:rsidR="00A016BC" w:rsidRPr="001A57E3">
        <w:rPr>
          <w:lang w:val="en-GB" w:eastAsia="lt-LT"/>
        </w:rPr>
        <w:t>4</w:t>
      </w:r>
      <w:r w:rsidRPr="001A57E3">
        <w:rPr>
          <w:lang w:val="en-GB" w:eastAsia="lt-LT"/>
        </w:rPr>
        <w:t xml:space="preserve">. </w:t>
      </w:r>
      <w:r w:rsidR="00056B50" w:rsidRPr="001A57E3">
        <w:rPr>
          <w:lang w:val="en-GB"/>
        </w:rPr>
        <w:t>The original copy of the Grant Agreement may be drawn up and submitted in the following ways (depending on the document form selected by the Implementing Authority)</w:t>
      </w:r>
      <w:r w:rsidRPr="001A57E3">
        <w:rPr>
          <w:lang w:val="en-GB" w:eastAsia="lt-LT"/>
        </w:rPr>
        <w:t>:</w:t>
      </w:r>
    </w:p>
    <w:p w:rsidR="00420065" w:rsidRPr="001A57E3" w:rsidRDefault="002A44DA">
      <w:pPr>
        <w:ind w:firstLine="709"/>
        <w:jc w:val="both"/>
        <w:rPr>
          <w:lang w:val="en-GB" w:eastAsia="lt-LT"/>
        </w:rPr>
      </w:pPr>
      <w:r w:rsidRPr="001A57E3">
        <w:rPr>
          <w:lang w:val="en-GB" w:eastAsia="lt-LT"/>
        </w:rPr>
        <w:t>9</w:t>
      </w:r>
      <w:r w:rsidR="00A016BC" w:rsidRPr="001A57E3">
        <w:rPr>
          <w:lang w:val="en-GB" w:eastAsia="lt-LT"/>
        </w:rPr>
        <w:t>4</w:t>
      </w:r>
      <w:r w:rsidR="00545694" w:rsidRPr="001A57E3">
        <w:rPr>
          <w:lang w:val="en-GB" w:eastAsia="lt-LT"/>
        </w:rPr>
        <w:t xml:space="preserve">.1. </w:t>
      </w:r>
      <w:r w:rsidR="00056B50" w:rsidRPr="001A57E3">
        <w:rPr>
          <w:lang w:val="en-GB"/>
        </w:rPr>
        <w:t>as a signed paper document</w:t>
      </w:r>
      <w:r w:rsidR="00545694" w:rsidRPr="001A57E3">
        <w:rPr>
          <w:lang w:val="en-GB" w:eastAsia="lt-LT"/>
        </w:rPr>
        <w:t>;</w:t>
      </w:r>
    </w:p>
    <w:p w:rsidR="00420065" w:rsidRPr="001A57E3" w:rsidRDefault="002A44DA">
      <w:pPr>
        <w:ind w:firstLine="709"/>
        <w:jc w:val="both"/>
        <w:rPr>
          <w:lang w:val="en-GB" w:eastAsia="lt-LT"/>
        </w:rPr>
      </w:pPr>
      <w:r w:rsidRPr="001A57E3">
        <w:rPr>
          <w:lang w:val="en-GB" w:eastAsia="lt-LT"/>
        </w:rPr>
        <w:t>9</w:t>
      </w:r>
      <w:r w:rsidR="00A016BC" w:rsidRPr="001A57E3">
        <w:rPr>
          <w:lang w:val="en-GB" w:eastAsia="lt-LT"/>
        </w:rPr>
        <w:t>4</w:t>
      </w:r>
      <w:r w:rsidR="00545694" w:rsidRPr="001A57E3">
        <w:rPr>
          <w:lang w:val="en-GB" w:eastAsia="lt-LT"/>
        </w:rPr>
        <w:t xml:space="preserve">.2. </w:t>
      </w:r>
      <w:r w:rsidR="00056B50" w:rsidRPr="001A57E3">
        <w:rPr>
          <w:lang w:val="en-GB"/>
        </w:rPr>
        <w:t>as an electronic document signed by an electronic signature</w:t>
      </w:r>
      <w:r w:rsidR="00545694" w:rsidRPr="001A57E3">
        <w:rPr>
          <w:lang w:val="en-GB" w:eastAsia="lt-LT"/>
        </w:rPr>
        <w:t>.</w:t>
      </w:r>
    </w:p>
    <w:p w:rsidR="00420065" w:rsidRPr="001A57E3" w:rsidRDefault="00420065">
      <w:pPr>
        <w:rPr>
          <w:lang w:val="en-GB" w:eastAsia="lt-LT"/>
        </w:rPr>
      </w:pPr>
    </w:p>
    <w:p w:rsidR="00420065" w:rsidRPr="001A57E3" w:rsidRDefault="00056B50">
      <w:pPr>
        <w:jc w:val="center"/>
        <w:rPr>
          <w:b/>
          <w:szCs w:val="24"/>
          <w:lang w:val="en-GB" w:eastAsia="lt-LT"/>
        </w:rPr>
      </w:pPr>
      <w:r w:rsidRPr="001A57E3">
        <w:rPr>
          <w:b/>
          <w:lang w:val="en-GB"/>
        </w:rPr>
        <w:t>CHAPTER VI</w:t>
      </w:r>
    </w:p>
    <w:p w:rsidR="00420065" w:rsidRPr="001A57E3" w:rsidRDefault="00056B50">
      <w:pPr>
        <w:jc w:val="center"/>
        <w:rPr>
          <w:b/>
          <w:szCs w:val="24"/>
          <w:lang w:val="en-GB" w:eastAsia="lt-LT"/>
        </w:rPr>
      </w:pPr>
      <w:r w:rsidRPr="001A57E3">
        <w:rPr>
          <w:b/>
          <w:lang w:val="en-GB"/>
        </w:rPr>
        <w:t>REQUIREMENTS APPLICABLE TO PROJECT IMPLEMENTATION</w:t>
      </w:r>
    </w:p>
    <w:p w:rsidR="00420065" w:rsidRPr="001A57E3" w:rsidRDefault="00420065">
      <w:pPr>
        <w:rPr>
          <w:lang w:val="en-GB" w:eastAsia="lt-LT"/>
        </w:rPr>
      </w:pPr>
    </w:p>
    <w:p w:rsidR="00420065" w:rsidRPr="001A57E3" w:rsidRDefault="002A44DA">
      <w:pPr>
        <w:ind w:firstLine="709"/>
        <w:jc w:val="both"/>
        <w:rPr>
          <w:lang w:val="en-GB" w:eastAsia="lt-LT"/>
        </w:rPr>
      </w:pPr>
      <w:r w:rsidRPr="001A57E3">
        <w:rPr>
          <w:lang w:val="en-GB" w:eastAsia="lt-LT"/>
        </w:rPr>
        <w:t>9</w:t>
      </w:r>
      <w:r w:rsidR="00A016BC" w:rsidRPr="001A57E3">
        <w:rPr>
          <w:lang w:val="en-GB" w:eastAsia="lt-LT"/>
        </w:rPr>
        <w:t>5</w:t>
      </w:r>
      <w:r w:rsidR="00545694" w:rsidRPr="001A57E3">
        <w:rPr>
          <w:lang w:val="en-GB" w:eastAsia="lt-LT"/>
        </w:rPr>
        <w:t xml:space="preserve">. </w:t>
      </w:r>
      <w:r w:rsidR="00B50879" w:rsidRPr="001A57E3">
        <w:rPr>
          <w:lang w:val="en-GB"/>
        </w:rPr>
        <w:t xml:space="preserve">The project is implemented following the requirements of the Grant Agreement, the </w:t>
      </w:r>
      <w:r w:rsidR="00EF72E5" w:rsidRPr="001A57E3">
        <w:rPr>
          <w:lang w:val="en-GB"/>
        </w:rPr>
        <w:t>Guidelines</w:t>
      </w:r>
      <w:r w:rsidR="00B50879" w:rsidRPr="001A57E3">
        <w:rPr>
          <w:lang w:val="en-GB"/>
        </w:rPr>
        <w:t xml:space="preserve"> and the Project Regulations</w:t>
      </w:r>
      <w:r w:rsidR="00545694" w:rsidRPr="001A57E3">
        <w:rPr>
          <w:lang w:val="en-GB" w:eastAsia="lt-LT"/>
        </w:rPr>
        <w:t>.</w:t>
      </w:r>
    </w:p>
    <w:p w:rsidR="00420065" w:rsidRPr="001A57E3" w:rsidRDefault="002A44DA">
      <w:pPr>
        <w:ind w:firstLine="709"/>
        <w:jc w:val="both"/>
        <w:rPr>
          <w:lang w:val="en-GB"/>
        </w:rPr>
      </w:pPr>
      <w:r w:rsidRPr="001A57E3">
        <w:rPr>
          <w:iCs/>
          <w:lang w:val="en-GB"/>
        </w:rPr>
        <w:t>9</w:t>
      </w:r>
      <w:r w:rsidR="00A016BC" w:rsidRPr="001A57E3">
        <w:rPr>
          <w:iCs/>
          <w:lang w:val="en-GB"/>
        </w:rPr>
        <w:t>6</w:t>
      </w:r>
      <w:r w:rsidR="00545694" w:rsidRPr="001A57E3">
        <w:rPr>
          <w:iCs/>
          <w:lang w:val="en-GB"/>
        </w:rPr>
        <w:t xml:space="preserve">. </w:t>
      </w:r>
      <w:r w:rsidR="00B50879" w:rsidRPr="001A57E3">
        <w:rPr>
          <w:lang w:val="en-GB"/>
        </w:rPr>
        <w:t>The project activities must be started as of the effective date of the Grant Agreement, but in any case, no later than within one month, and must be completed no later than the terms referred to in Articles 213.1 and 213.5 of the Project Regulations. The beginning of project activities is considered to be the date at which the research leader starts working at the project.</w:t>
      </w:r>
    </w:p>
    <w:p w:rsidR="00420065" w:rsidRPr="001A57E3" w:rsidRDefault="002A44DA">
      <w:pPr>
        <w:ind w:firstLine="709"/>
        <w:jc w:val="both"/>
        <w:rPr>
          <w:lang w:val="en-GB" w:eastAsia="lt-LT"/>
        </w:rPr>
      </w:pPr>
      <w:r w:rsidRPr="001A57E3">
        <w:rPr>
          <w:lang w:val="en-GB"/>
        </w:rPr>
        <w:t>9</w:t>
      </w:r>
      <w:r w:rsidR="00A016BC" w:rsidRPr="001A57E3">
        <w:rPr>
          <w:lang w:val="en-GB"/>
        </w:rPr>
        <w:t>7</w:t>
      </w:r>
      <w:r w:rsidR="00545694" w:rsidRPr="001A57E3">
        <w:rPr>
          <w:lang w:val="en-GB"/>
        </w:rPr>
        <w:t xml:space="preserve">. </w:t>
      </w:r>
      <w:r w:rsidR="00B50879" w:rsidRPr="001A57E3">
        <w:rPr>
          <w:lang w:val="en-GB"/>
        </w:rPr>
        <w:t>Where the activities have not been launched within one month from the effective date of the Grant Agreement, the Implementing authority shall have a right to unilaterally terminate the Grant Agreement in the manner specified in Article 192 of the Project Regulations</w:t>
      </w:r>
      <w:r w:rsidR="00545694" w:rsidRPr="001A57E3">
        <w:rPr>
          <w:lang w:val="en-GB" w:eastAsia="lt-LT"/>
        </w:rPr>
        <w:t>.</w:t>
      </w:r>
    </w:p>
    <w:p w:rsidR="00420065" w:rsidRPr="001A57E3" w:rsidRDefault="002A44DA">
      <w:pPr>
        <w:ind w:firstLine="709"/>
        <w:jc w:val="both"/>
        <w:rPr>
          <w:lang w:val="en-GB"/>
        </w:rPr>
      </w:pPr>
      <w:r w:rsidRPr="001A57E3">
        <w:rPr>
          <w:lang w:val="en-GB"/>
        </w:rPr>
        <w:t>9</w:t>
      </w:r>
      <w:r w:rsidR="00A016BC" w:rsidRPr="001A57E3">
        <w:rPr>
          <w:lang w:val="en-GB"/>
        </w:rPr>
        <w:t>8</w:t>
      </w:r>
      <w:r w:rsidR="00545694" w:rsidRPr="001A57E3">
        <w:rPr>
          <w:lang w:val="en-GB"/>
        </w:rPr>
        <w:t xml:space="preserve">. </w:t>
      </w:r>
      <w:r w:rsidR="00B50879" w:rsidRPr="001A57E3">
        <w:rPr>
          <w:lang w:val="en-GB"/>
        </w:rPr>
        <w:t>The research leader shall start working for the project within no later than one month from the effective date of the Grant Agreement and shall work within the project throughout the entire project implementation period, i.e. total no less than 840 hours in the course of 12 months (according to unit costs certificates declared by the beneficiary and approved by the Implementing authority). A research leader may not work at the project according to a remote employment contract</w:t>
      </w:r>
      <w:r w:rsidR="00DA19DD" w:rsidRPr="001A57E3">
        <w:rPr>
          <w:lang w:val="en-GB"/>
        </w:rPr>
        <w:t>.</w:t>
      </w:r>
    </w:p>
    <w:p w:rsidR="008D3A3B" w:rsidRPr="001A57E3" w:rsidRDefault="00A016BC" w:rsidP="008D3A3B">
      <w:pPr>
        <w:ind w:firstLine="709"/>
        <w:jc w:val="both"/>
        <w:rPr>
          <w:lang w:val="en-GB" w:eastAsia="lt-LT"/>
        </w:rPr>
      </w:pPr>
      <w:r w:rsidRPr="001A57E3">
        <w:rPr>
          <w:iCs/>
          <w:lang w:val="en-GB"/>
        </w:rPr>
        <w:t>99</w:t>
      </w:r>
      <w:r w:rsidR="00545694" w:rsidRPr="001A57E3">
        <w:rPr>
          <w:iCs/>
          <w:lang w:val="en-GB"/>
        </w:rPr>
        <w:t xml:space="preserve">. </w:t>
      </w:r>
      <w:r w:rsidR="005A1E28" w:rsidRPr="001A57E3">
        <w:rPr>
          <w:iCs/>
          <w:lang w:val="en-GB"/>
        </w:rPr>
        <w:t>If, during the implementation of the project, the applicant has been granted state aid within the meaning of Article 107 of the Treaty on the Functioning of the European Union (OJ</w:t>
      </w:r>
      <w:r w:rsidR="00601A8E" w:rsidRPr="001A57E3">
        <w:rPr>
          <w:iCs/>
          <w:lang w:val="en-GB"/>
        </w:rPr>
        <w:t xml:space="preserve"> 2010 C 83, p. 47)</w:t>
      </w:r>
      <w:r w:rsidR="008D3A3B" w:rsidRPr="001A57E3">
        <w:rPr>
          <w:iCs/>
          <w:lang w:val="en-GB"/>
        </w:rPr>
        <w:t xml:space="preserve">, </w:t>
      </w:r>
      <w:r w:rsidR="005A1E28" w:rsidRPr="001A57E3">
        <w:rPr>
          <w:iCs/>
          <w:lang w:val="en-GB"/>
        </w:rPr>
        <w:t>the applicant must submit documents demonstrating the proper separation between the economic and non-economic activities of the applicant and the partner, their costs, financing and income (annual financial statements) for the period of three years after the completion of the project financing</w:t>
      </w:r>
      <w:r w:rsidR="008D3A3B" w:rsidRPr="001A57E3">
        <w:rPr>
          <w:iCs/>
          <w:lang w:val="en-GB"/>
        </w:rPr>
        <w:t>.</w:t>
      </w:r>
    </w:p>
    <w:p w:rsidR="00420065" w:rsidRPr="001A57E3" w:rsidRDefault="00A016BC">
      <w:pPr>
        <w:ind w:firstLine="709"/>
        <w:jc w:val="both"/>
        <w:rPr>
          <w:szCs w:val="24"/>
          <w:lang w:val="en-GB"/>
        </w:rPr>
      </w:pPr>
      <w:r w:rsidRPr="001A57E3">
        <w:rPr>
          <w:szCs w:val="24"/>
          <w:lang w:val="en-GB" w:eastAsia="lt-LT"/>
        </w:rPr>
        <w:t>100</w:t>
      </w:r>
      <w:r w:rsidR="00545694" w:rsidRPr="001A57E3">
        <w:rPr>
          <w:szCs w:val="24"/>
          <w:lang w:val="en-GB" w:eastAsia="lt-LT"/>
        </w:rPr>
        <w:t xml:space="preserve">. </w:t>
      </w:r>
      <w:r w:rsidR="005A1E28" w:rsidRPr="001A57E3">
        <w:rPr>
          <w:szCs w:val="24"/>
          <w:lang w:val="en-GB"/>
        </w:rPr>
        <w:t>For the purpose of supervising the project implementation course the Implementing authority shall have a right to carry out an on-site inspection of the project. Representatives of the Ministry shall have a right to attend the project implementation and/or administration location individually or together with the Implementing authority</w:t>
      </w:r>
      <w:r w:rsidR="00545694" w:rsidRPr="001A57E3">
        <w:rPr>
          <w:szCs w:val="24"/>
          <w:lang w:val="en-GB"/>
        </w:rPr>
        <w:t>.</w:t>
      </w:r>
    </w:p>
    <w:p w:rsidR="00420065" w:rsidRPr="001A57E3" w:rsidRDefault="002A44DA">
      <w:pPr>
        <w:ind w:firstLine="709"/>
        <w:jc w:val="both"/>
        <w:rPr>
          <w:szCs w:val="24"/>
          <w:lang w:val="en-GB"/>
        </w:rPr>
      </w:pPr>
      <w:r w:rsidRPr="001A57E3">
        <w:rPr>
          <w:szCs w:val="24"/>
          <w:lang w:val="en-GB"/>
        </w:rPr>
        <w:t>10</w:t>
      </w:r>
      <w:r w:rsidR="00A016BC" w:rsidRPr="001A57E3">
        <w:rPr>
          <w:szCs w:val="24"/>
          <w:lang w:val="en-GB"/>
        </w:rPr>
        <w:t>1</w:t>
      </w:r>
      <w:r w:rsidR="00545694" w:rsidRPr="001A57E3">
        <w:rPr>
          <w:szCs w:val="24"/>
          <w:lang w:val="en-GB"/>
        </w:rPr>
        <w:t xml:space="preserve">. </w:t>
      </w:r>
      <w:r w:rsidR="005A1E28" w:rsidRPr="001A57E3">
        <w:rPr>
          <w:szCs w:val="24"/>
          <w:lang w:val="en-GB"/>
        </w:rPr>
        <w:t>In the course of the project implementation the beneficiary shall submit to the Implementing authority a report on research activities. The report on research activities shall be submitted in the mid-term of the project, together with the final request for payment.</w:t>
      </w:r>
    </w:p>
    <w:p w:rsidR="00420065" w:rsidRPr="001A57E3" w:rsidRDefault="002A44DA">
      <w:pPr>
        <w:ind w:firstLine="709"/>
        <w:jc w:val="both"/>
        <w:rPr>
          <w:szCs w:val="24"/>
          <w:lang w:val="en-GB"/>
        </w:rPr>
      </w:pPr>
      <w:r w:rsidRPr="001A57E3">
        <w:rPr>
          <w:szCs w:val="24"/>
          <w:lang w:val="en-GB"/>
        </w:rPr>
        <w:t>10</w:t>
      </w:r>
      <w:r w:rsidR="00A016BC" w:rsidRPr="001A57E3">
        <w:rPr>
          <w:szCs w:val="24"/>
          <w:lang w:val="en-GB"/>
        </w:rPr>
        <w:t>2</w:t>
      </w:r>
      <w:r w:rsidR="00545694" w:rsidRPr="001A57E3">
        <w:rPr>
          <w:szCs w:val="24"/>
          <w:lang w:val="en-GB"/>
        </w:rPr>
        <w:t xml:space="preserve">. </w:t>
      </w:r>
      <w:r w:rsidR="005A1E28" w:rsidRPr="001A57E3">
        <w:rPr>
          <w:szCs w:val="24"/>
          <w:lang w:val="en-GB"/>
        </w:rPr>
        <w:t xml:space="preserve">In case an assessment of the report on research activities determine that the beneficiary has implemented the project activities to the extent prescribed in the Grant Agreement, the results of the research activities and the course of the project implementation are sufficient and scientifically valuable, and it is realistic to achieve the project monitoring indicator referred to in Article 30.2 of the </w:t>
      </w:r>
      <w:r w:rsidR="00EF72E5" w:rsidRPr="001A57E3">
        <w:rPr>
          <w:szCs w:val="24"/>
          <w:lang w:val="en-GB"/>
        </w:rPr>
        <w:t>Guidelines</w:t>
      </w:r>
      <w:r w:rsidR="005A1E28" w:rsidRPr="001A57E3">
        <w:rPr>
          <w:szCs w:val="24"/>
          <w:lang w:val="en-GB"/>
        </w:rPr>
        <w:t xml:space="preserve">, or at least one of the results referred to in Article 32 of the </w:t>
      </w:r>
      <w:r w:rsidR="00EF72E5" w:rsidRPr="001A57E3">
        <w:rPr>
          <w:szCs w:val="24"/>
          <w:lang w:val="en-GB"/>
        </w:rPr>
        <w:t>Guidelines</w:t>
      </w:r>
      <w:r w:rsidR="005A1E28" w:rsidRPr="001A57E3">
        <w:rPr>
          <w:szCs w:val="24"/>
          <w:lang w:val="en-GB"/>
        </w:rPr>
        <w:t>, having agreed with the Ministry the Implementing authority shall pass a decision to continue the funding of the project</w:t>
      </w:r>
      <w:r w:rsidR="00545694" w:rsidRPr="001A57E3">
        <w:rPr>
          <w:szCs w:val="24"/>
          <w:lang w:val="en-GB"/>
        </w:rPr>
        <w:t>.</w:t>
      </w:r>
    </w:p>
    <w:p w:rsidR="00420065" w:rsidRPr="001A57E3" w:rsidRDefault="002A44DA">
      <w:pPr>
        <w:ind w:firstLine="709"/>
        <w:jc w:val="both"/>
        <w:rPr>
          <w:szCs w:val="24"/>
          <w:lang w:val="en-GB"/>
        </w:rPr>
      </w:pPr>
      <w:r w:rsidRPr="001A57E3">
        <w:rPr>
          <w:szCs w:val="24"/>
          <w:lang w:val="en-GB"/>
        </w:rPr>
        <w:t>10</w:t>
      </w:r>
      <w:r w:rsidR="00A016BC" w:rsidRPr="001A57E3">
        <w:rPr>
          <w:szCs w:val="24"/>
          <w:lang w:val="en-GB"/>
        </w:rPr>
        <w:t>3</w:t>
      </w:r>
      <w:r w:rsidR="00545694" w:rsidRPr="001A57E3">
        <w:rPr>
          <w:szCs w:val="24"/>
          <w:lang w:val="en-GB"/>
        </w:rPr>
        <w:t xml:space="preserve">. </w:t>
      </w:r>
      <w:r w:rsidR="005A1E28" w:rsidRPr="001A57E3">
        <w:rPr>
          <w:szCs w:val="24"/>
          <w:lang w:val="en-GB"/>
        </w:rPr>
        <w:t xml:space="preserve">In case an assessment of the report on research activities determine that the beneficiary has implemented the project activities to the extent prescribed in the Grant Agreement, the results of the research activities and the course of the project implementation are sufficient and scientifically valuable, however, due to objective reasons the project monitoring indicator referred to in Article 30.2 of the </w:t>
      </w:r>
      <w:r w:rsidR="00EF72E5" w:rsidRPr="001A57E3">
        <w:rPr>
          <w:szCs w:val="24"/>
          <w:lang w:val="en-GB"/>
        </w:rPr>
        <w:t>Guidelines</w:t>
      </w:r>
      <w:r w:rsidR="005A1E28" w:rsidRPr="001A57E3">
        <w:rPr>
          <w:szCs w:val="24"/>
          <w:lang w:val="en-GB"/>
        </w:rPr>
        <w:t xml:space="preserve">, or at least one of the results referred to in Article 32 of the </w:t>
      </w:r>
      <w:r w:rsidR="00EF72E5" w:rsidRPr="001A57E3">
        <w:rPr>
          <w:szCs w:val="24"/>
          <w:lang w:val="en-GB"/>
        </w:rPr>
        <w:t>Guidelines</w:t>
      </w:r>
      <w:r w:rsidR="005A1E28" w:rsidRPr="001A57E3">
        <w:rPr>
          <w:szCs w:val="24"/>
          <w:lang w:val="en-GB"/>
        </w:rPr>
        <w:t xml:space="preserve"> will not be achieved, having agreed with the Ministry the Implementing authority shall pass a decision to discontinue the funding of the project, without recovering the amounts paid as funding of the project. In that case the beneficiary shall be considered to have achieved the indicator set forth in Article 30.1 of the </w:t>
      </w:r>
      <w:r w:rsidR="00EF72E5" w:rsidRPr="001A57E3">
        <w:rPr>
          <w:szCs w:val="24"/>
          <w:lang w:val="en-GB"/>
        </w:rPr>
        <w:t>Guidelines</w:t>
      </w:r>
      <w:r w:rsidR="00545694" w:rsidRPr="001A57E3">
        <w:rPr>
          <w:szCs w:val="24"/>
          <w:lang w:val="en-GB"/>
        </w:rPr>
        <w:t>.</w:t>
      </w:r>
    </w:p>
    <w:p w:rsidR="00420065" w:rsidRPr="001A57E3" w:rsidRDefault="002A44DA">
      <w:pPr>
        <w:ind w:firstLine="709"/>
        <w:jc w:val="both"/>
        <w:rPr>
          <w:szCs w:val="24"/>
          <w:lang w:val="en-GB"/>
        </w:rPr>
      </w:pPr>
      <w:r w:rsidRPr="001A57E3">
        <w:rPr>
          <w:szCs w:val="24"/>
          <w:lang w:val="en-GB"/>
        </w:rPr>
        <w:t>10</w:t>
      </w:r>
      <w:r w:rsidR="00A016BC" w:rsidRPr="001A57E3">
        <w:rPr>
          <w:szCs w:val="24"/>
          <w:lang w:val="en-GB"/>
        </w:rPr>
        <w:t>4</w:t>
      </w:r>
      <w:r w:rsidR="00545694" w:rsidRPr="001A57E3">
        <w:rPr>
          <w:szCs w:val="24"/>
          <w:lang w:val="en-GB"/>
        </w:rPr>
        <w:t xml:space="preserve">. </w:t>
      </w:r>
      <w:r w:rsidR="005A1E28" w:rsidRPr="001A57E3">
        <w:rPr>
          <w:szCs w:val="24"/>
          <w:lang w:val="en-GB"/>
        </w:rPr>
        <w:t>In the course of the implementation of the project the beneficiary shall agree with the Implementing Authority all the deviations from the scheduled implementation of the project, that amend the scope of the project, the costs, or extend the duration of the project or cause other modifications to the project or the obligations of the beneficiary defined in the Grant Agreement. Any changes in the Project implementation or the Grant Agreement shall be agreed with the Implementing Authority in the manner set forth in the Grant Agreement</w:t>
      </w:r>
      <w:r w:rsidR="00545694" w:rsidRPr="001A57E3">
        <w:rPr>
          <w:szCs w:val="24"/>
          <w:lang w:val="en-GB"/>
        </w:rPr>
        <w:t>.</w:t>
      </w:r>
    </w:p>
    <w:p w:rsidR="00420065" w:rsidRPr="001A57E3" w:rsidRDefault="00545694">
      <w:pPr>
        <w:ind w:firstLine="709"/>
        <w:jc w:val="both"/>
        <w:rPr>
          <w:szCs w:val="24"/>
          <w:lang w:val="en-GB" w:eastAsia="lt-LT"/>
        </w:rPr>
      </w:pPr>
      <w:r w:rsidRPr="001A57E3">
        <w:rPr>
          <w:lang w:val="en-GB" w:eastAsia="lt-LT"/>
        </w:rPr>
        <w:t>10</w:t>
      </w:r>
      <w:r w:rsidR="00A016BC" w:rsidRPr="001A57E3">
        <w:rPr>
          <w:lang w:val="en-GB" w:eastAsia="lt-LT"/>
        </w:rPr>
        <w:t>5</w:t>
      </w:r>
      <w:r w:rsidRPr="001A57E3">
        <w:rPr>
          <w:lang w:val="en-GB" w:eastAsia="lt-LT"/>
        </w:rPr>
        <w:t xml:space="preserve">. </w:t>
      </w:r>
      <w:r w:rsidR="005A1E28" w:rsidRPr="001A57E3">
        <w:rPr>
          <w:lang w:val="en-GB"/>
        </w:rPr>
        <w:t>The beneficiary shall provide information about a project being implemented or delivered in the manner set forth in Section 37 of the Project Regulations by selecting the actions for the information about the project proportional to the scope of project activities and referred to in Articles 450.1, 450.2 and 450.6 of the Project Regulations, and engaging in other activities intended for information about project activities</w:t>
      </w:r>
      <w:r w:rsidRPr="001A57E3">
        <w:rPr>
          <w:lang w:val="en-GB" w:eastAsia="lt-LT"/>
        </w:rPr>
        <w:t>.</w:t>
      </w:r>
    </w:p>
    <w:p w:rsidR="00420065" w:rsidRPr="001A57E3" w:rsidRDefault="002A44DA">
      <w:pPr>
        <w:ind w:firstLine="709"/>
        <w:jc w:val="both"/>
        <w:rPr>
          <w:lang w:val="en-GB"/>
        </w:rPr>
      </w:pPr>
      <w:r w:rsidRPr="001A57E3">
        <w:rPr>
          <w:lang w:val="en-GB" w:eastAsia="lt-LT"/>
        </w:rPr>
        <w:t>10</w:t>
      </w:r>
      <w:r w:rsidR="00A016BC" w:rsidRPr="001A57E3">
        <w:rPr>
          <w:lang w:val="en-GB" w:eastAsia="lt-LT"/>
        </w:rPr>
        <w:t>6</w:t>
      </w:r>
      <w:r w:rsidR="00545694" w:rsidRPr="001A57E3">
        <w:rPr>
          <w:lang w:val="en-GB" w:eastAsia="lt-LT"/>
        </w:rPr>
        <w:t xml:space="preserve">. </w:t>
      </w:r>
      <w:r w:rsidR="005A1E28" w:rsidRPr="001A57E3">
        <w:rPr>
          <w:lang w:val="en-GB"/>
        </w:rPr>
        <w:t>The beneficiary shall allow responsible officials of the European Commission, the European Court of Auditors, an audit institution and other institutions to access all the documents in the course of the implementation of the projects and for another 2 years from December 31 of the year in which the decision was taken to approve the invoices submitted to the European Commission, or when the end of the project financing coincides with the reporting year for which the invoices are submitted to the European Commission, and retain the documents in the procedure stipulated in Article 42 of Section 488 of the Project Regulations, except the documents that are drawn up, submitted and received through the DMS</w:t>
      </w:r>
      <w:r w:rsidR="00545694" w:rsidRPr="001A57E3">
        <w:rPr>
          <w:lang w:val="en-GB"/>
        </w:rPr>
        <w:t>.</w:t>
      </w:r>
    </w:p>
    <w:p w:rsidR="00420065" w:rsidRPr="001A57E3" w:rsidRDefault="002A44DA">
      <w:pPr>
        <w:ind w:firstLine="709"/>
        <w:jc w:val="both"/>
        <w:rPr>
          <w:lang w:val="en-GB" w:eastAsia="lt-LT"/>
        </w:rPr>
      </w:pPr>
      <w:r w:rsidRPr="001A57E3">
        <w:rPr>
          <w:lang w:val="en-GB"/>
        </w:rPr>
        <w:t>10</w:t>
      </w:r>
      <w:r w:rsidR="00A016BC" w:rsidRPr="001A57E3">
        <w:rPr>
          <w:lang w:val="en-GB"/>
        </w:rPr>
        <w:t>7</w:t>
      </w:r>
      <w:r w:rsidR="00545694" w:rsidRPr="001A57E3">
        <w:rPr>
          <w:lang w:val="en-GB"/>
        </w:rPr>
        <w:t xml:space="preserve">. </w:t>
      </w:r>
      <w:r w:rsidR="00123501" w:rsidRPr="001A57E3">
        <w:rPr>
          <w:lang w:val="en-GB"/>
        </w:rPr>
        <w:t>In case where implementing the project the beneficiary fails to comply with the terms and conditions of the Grant Agreement, and/or violates legal acts of the Republic of Lithuania and/or the European Union, or in case the research report submitted by the beneficiary, the Implementing Authority shall have a right by its unilateral decision to reduce, suspend or terminate the funding of the project, and/or to terminate the Grant Agreement and/or request the repayment of project financing funds or part thereof, following the requirements set forth in the decision of the Implementing Authority. Any violations of the Grant Agreement shall be considered, and the decisions regarding such established violations shall be passed in the procedure set forth in the Project Regulations</w:t>
      </w:r>
      <w:r w:rsidR="00545694" w:rsidRPr="001A57E3">
        <w:rPr>
          <w:lang w:val="en-GB"/>
        </w:rPr>
        <w:t>.</w:t>
      </w:r>
    </w:p>
    <w:p w:rsidR="00420065" w:rsidRPr="001A57E3" w:rsidRDefault="00420065">
      <w:pPr>
        <w:ind w:firstLine="709"/>
        <w:jc w:val="both"/>
        <w:rPr>
          <w:lang w:val="en-GB" w:eastAsia="lt-LT"/>
        </w:rPr>
      </w:pPr>
    </w:p>
    <w:p w:rsidR="00420065" w:rsidRPr="001A57E3" w:rsidRDefault="00123501">
      <w:pPr>
        <w:jc w:val="center"/>
        <w:rPr>
          <w:b/>
          <w:szCs w:val="24"/>
          <w:lang w:val="en-GB" w:eastAsia="lt-LT"/>
        </w:rPr>
      </w:pPr>
      <w:r w:rsidRPr="001A57E3">
        <w:rPr>
          <w:b/>
          <w:szCs w:val="24"/>
          <w:lang w:val="en-GB" w:eastAsia="lt-LT"/>
        </w:rPr>
        <w:t>CHAPTER VII</w:t>
      </w:r>
    </w:p>
    <w:p w:rsidR="00420065" w:rsidRPr="001A57E3" w:rsidRDefault="00123501">
      <w:pPr>
        <w:jc w:val="center"/>
        <w:rPr>
          <w:b/>
          <w:szCs w:val="24"/>
          <w:lang w:val="en-GB" w:eastAsia="lt-LT"/>
        </w:rPr>
      </w:pPr>
      <w:r w:rsidRPr="001A57E3">
        <w:rPr>
          <w:b/>
          <w:szCs w:val="24"/>
          <w:lang w:val="en-GB" w:eastAsia="lt-LT"/>
        </w:rPr>
        <w:t xml:space="preserve">PROCEDURE FOR AMENDING THE </w:t>
      </w:r>
      <w:r w:rsidR="00EF72E5" w:rsidRPr="001A57E3">
        <w:rPr>
          <w:b/>
          <w:szCs w:val="24"/>
          <w:lang w:val="en-GB" w:eastAsia="lt-LT"/>
        </w:rPr>
        <w:t>GUIDELINES</w:t>
      </w:r>
    </w:p>
    <w:p w:rsidR="00420065" w:rsidRPr="001A57E3" w:rsidRDefault="00420065">
      <w:pPr>
        <w:rPr>
          <w:lang w:val="en-GB" w:eastAsia="lt-LT"/>
        </w:rPr>
      </w:pPr>
    </w:p>
    <w:p w:rsidR="00420065" w:rsidRPr="001A57E3" w:rsidRDefault="002A44DA">
      <w:pPr>
        <w:ind w:firstLine="709"/>
        <w:jc w:val="both"/>
        <w:rPr>
          <w:lang w:val="en-GB" w:eastAsia="lt-LT"/>
        </w:rPr>
      </w:pPr>
      <w:r w:rsidRPr="001A57E3">
        <w:rPr>
          <w:lang w:val="en-GB" w:eastAsia="lt-LT"/>
        </w:rPr>
        <w:t>10</w:t>
      </w:r>
      <w:r w:rsidR="00A016BC" w:rsidRPr="001A57E3">
        <w:rPr>
          <w:lang w:val="en-GB" w:eastAsia="lt-LT"/>
        </w:rPr>
        <w:t>8</w:t>
      </w:r>
      <w:r w:rsidR="00545694" w:rsidRPr="001A57E3">
        <w:rPr>
          <w:lang w:val="en-GB" w:eastAsia="lt-LT"/>
        </w:rPr>
        <w:t xml:space="preserve">. </w:t>
      </w:r>
      <w:r w:rsidR="00123501" w:rsidRPr="001A57E3">
        <w:rPr>
          <w:lang w:val="en-GB" w:eastAsia="lt-LT"/>
        </w:rPr>
        <w:t xml:space="preserve">The procedure for amending the </w:t>
      </w:r>
      <w:r w:rsidR="00EF72E5" w:rsidRPr="001A57E3">
        <w:rPr>
          <w:lang w:val="en-GB" w:eastAsia="lt-LT"/>
        </w:rPr>
        <w:t>Guidelines</w:t>
      </w:r>
      <w:r w:rsidR="00123501" w:rsidRPr="001A57E3">
        <w:rPr>
          <w:lang w:val="en-GB" w:eastAsia="lt-LT"/>
        </w:rPr>
        <w:t xml:space="preserve"> is defined in Section 11 of the Project Regulations</w:t>
      </w:r>
      <w:r w:rsidR="00545694" w:rsidRPr="001A57E3">
        <w:rPr>
          <w:lang w:val="en-GB" w:eastAsia="lt-LT"/>
        </w:rPr>
        <w:t>.</w:t>
      </w:r>
    </w:p>
    <w:p w:rsidR="00420065" w:rsidRPr="001A57E3" w:rsidRDefault="002A44DA">
      <w:pPr>
        <w:ind w:firstLine="709"/>
        <w:jc w:val="both"/>
        <w:rPr>
          <w:lang w:val="en-GB" w:eastAsia="lt-LT"/>
        </w:rPr>
      </w:pPr>
      <w:r w:rsidRPr="001A57E3">
        <w:rPr>
          <w:lang w:val="en-GB" w:eastAsia="lt-LT"/>
        </w:rPr>
        <w:t>1</w:t>
      </w:r>
      <w:r w:rsidR="00A016BC" w:rsidRPr="001A57E3">
        <w:rPr>
          <w:lang w:val="en-GB" w:eastAsia="lt-LT"/>
        </w:rPr>
        <w:t>09</w:t>
      </w:r>
      <w:r w:rsidR="00545694" w:rsidRPr="001A57E3">
        <w:rPr>
          <w:lang w:val="en-GB" w:eastAsia="lt-LT"/>
        </w:rPr>
        <w:t xml:space="preserve">. </w:t>
      </w:r>
      <w:r w:rsidR="00123501" w:rsidRPr="001A57E3">
        <w:rPr>
          <w:lang w:val="en-GB"/>
        </w:rPr>
        <w:t xml:space="preserve">In case the </w:t>
      </w:r>
      <w:r w:rsidR="00EF72E5" w:rsidRPr="001A57E3">
        <w:rPr>
          <w:lang w:val="en-GB"/>
        </w:rPr>
        <w:t>Guidelines</w:t>
      </w:r>
      <w:r w:rsidR="00123501" w:rsidRPr="001A57E3">
        <w:rPr>
          <w:lang w:val="en-GB"/>
        </w:rPr>
        <w:t xml:space="preserve"> is being amended after the projects have been already selected, without violating the principle of equality the amendments of the </w:t>
      </w:r>
      <w:r w:rsidR="00EF72E5" w:rsidRPr="001A57E3">
        <w:rPr>
          <w:lang w:val="en-GB"/>
        </w:rPr>
        <w:t>Guidelines</w:t>
      </w:r>
      <w:r w:rsidR="00123501" w:rsidRPr="001A57E3">
        <w:rPr>
          <w:lang w:val="en-GB"/>
        </w:rPr>
        <w:t xml:space="preserve"> shall in the cases specified in Article 91 of the Project Regulations apply to the projects being implemented</w:t>
      </w:r>
      <w:r w:rsidR="00545694" w:rsidRPr="001A57E3">
        <w:rPr>
          <w:lang w:val="en-GB" w:eastAsia="lt-LT"/>
        </w:rPr>
        <w:t>.</w:t>
      </w:r>
    </w:p>
    <w:p w:rsidR="00283FB4" w:rsidRPr="001A57E3" w:rsidRDefault="00283FB4">
      <w:pPr>
        <w:ind w:firstLine="709"/>
        <w:jc w:val="both"/>
        <w:rPr>
          <w:lang w:val="en-GB" w:eastAsia="lt-LT"/>
        </w:rPr>
      </w:pPr>
    </w:p>
    <w:p w:rsidR="00420065" w:rsidRPr="00123501" w:rsidRDefault="00545694">
      <w:pPr>
        <w:jc w:val="center"/>
        <w:rPr>
          <w:lang w:val="en-GB"/>
        </w:rPr>
      </w:pPr>
      <w:r w:rsidRPr="001A57E3">
        <w:rPr>
          <w:rFonts w:eastAsia="Calibri"/>
          <w:lang w:val="en-GB" w:eastAsia="lt-LT"/>
        </w:rPr>
        <w:t>___________________</w:t>
      </w:r>
      <w:bookmarkStart w:id="0" w:name="_GoBack"/>
      <w:bookmarkEnd w:id="0"/>
    </w:p>
    <w:sectPr w:rsidR="00420065" w:rsidRPr="00123501" w:rsidSect="006122E9">
      <w:headerReference w:type="even" r:id="rId37"/>
      <w:headerReference w:type="default" r:id="rId38"/>
      <w:footerReference w:type="even" r:id="rId39"/>
      <w:footerReference w:type="default" r:id="rId40"/>
      <w:headerReference w:type="first" r:id="rId41"/>
      <w:footerReference w:type="first" r:id="rId42"/>
      <w:type w:val="continuous"/>
      <w:pgSz w:w="11907" w:h="16840" w:code="9"/>
      <w:pgMar w:top="1138" w:right="562" w:bottom="1238" w:left="1699" w:header="288" w:footer="720" w:gutter="0"/>
      <w:cols w:space="282"/>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C07" w:rsidRDefault="00CF5C07">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rsidR="00CF5C07" w:rsidRDefault="00CF5C07">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LT">
    <w:altName w:val="Arial"/>
    <w:panose1 w:val="00000000000000000000"/>
    <w:charset w:val="BA"/>
    <w:family w:val="swiss"/>
    <w:notTrueType/>
    <w:pitch w:val="variable"/>
    <w:sig w:usb0="00000007" w:usb1="00000000" w:usb2="00000000" w:usb3="00000000" w:csb0="00000081"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EF8" w:rsidRDefault="003C0EF8">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separate"/>
    </w:r>
    <w:r>
      <w:rPr>
        <w:rFonts w:ascii="HelveticaLT" w:hAnsi="HelveticaLT"/>
        <w:noProof/>
        <w:sz w:val="20"/>
        <w:lang w:val="en-GB"/>
      </w:rPr>
      <w:t>2</w:t>
    </w:r>
    <w:r>
      <w:rPr>
        <w:rFonts w:ascii="HelveticaLT" w:hAnsi="HelveticaLT"/>
        <w:sz w:val="20"/>
        <w:lang w:val="en-GB"/>
      </w:rPr>
      <w:fldChar w:fldCharType="end"/>
    </w:r>
  </w:p>
  <w:p w:rsidR="003C0EF8" w:rsidRDefault="003C0EF8">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EF8" w:rsidRDefault="003C0EF8">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EF8" w:rsidRDefault="003C0EF8">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C07" w:rsidRDefault="00CF5C07">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rsidR="00CF5C07" w:rsidRDefault="00CF5C07">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EF8" w:rsidRDefault="003C0EF8">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76647"/>
      <w:docPartObj>
        <w:docPartGallery w:val="Page Numbers (Top of Page)"/>
        <w:docPartUnique/>
      </w:docPartObj>
    </w:sdtPr>
    <w:sdtEndPr/>
    <w:sdtContent>
      <w:p w:rsidR="003C0EF8" w:rsidRDefault="003C0EF8">
        <w:pPr>
          <w:pStyle w:val="Header"/>
          <w:jc w:val="center"/>
        </w:pPr>
        <w:r w:rsidRPr="006122E9">
          <w:rPr>
            <w:rFonts w:ascii="Times New Roman" w:hAnsi="Times New Roman"/>
            <w:sz w:val="24"/>
            <w:szCs w:val="24"/>
          </w:rPr>
          <w:fldChar w:fldCharType="begin"/>
        </w:r>
        <w:r w:rsidRPr="006122E9">
          <w:rPr>
            <w:rFonts w:ascii="Times New Roman" w:hAnsi="Times New Roman"/>
            <w:sz w:val="24"/>
            <w:szCs w:val="24"/>
          </w:rPr>
          <w:instrText>PAGE   \* MERGEFORMAT</w:instrText>
        </w:r>
        <w:r w:rsidRPr="006122E9">
          <w:rPr>
            <w:rFonts w:ascii="Times New Roman" w:hAnsi="Times New Roman"/>
            <w:sz w:val="24"/>
            <w:szCs w:val="24"/>
          </w:rPr>
          <w:fldChar w:fldCharType="separate"/>
        </w:r>
        <w:r w:rsidR="001A57E3">
          <w:rPr>
            <w:rFonts w:ascii="Times New Roman" w:hAnsi="Times New Roman"/>
            <w:noProof/>
            <w:sz w:val="24"/>
            <w:szCs w:val="24"/>
          </w:rPr>
          <w:t>18</w:t>
        </w:r>
        <w:r w:rsidRPr="006122E9">
          <w:rPr>
            <w:rFonts w:ascii="Times New Roman" w:hAnsi="Times New Roman"/>
            <w:sz w:val="24"/>
            <w:szCs w:val="24"/>
          </w:rPr>
          <w:fldChar w:fldCharType="end"/>
        </w:r>
      </w:p>
    </w:sdtContent>
  </w:sdt>
  <w:p w:rsidR="003C0EF8" w:rsidRDefault="003C0EF8">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EF8" w:rsidRDefault="003C0EF8">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E1669"/>
    <w:multiLevelType w:val="hybridMultilevel"/>
    <w:tmpl w:val="F10C06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5E202B9C"/>
    <w:multiLevelType w:val="hybridMultilevel"/>
    <w:tmpl w:val="243EE0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95B121A"/>
    <w:multiLevelType w:val="hybridMultilevel"/>
    <w:tmpl w:val="9B8E0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9BD"/>
    <w:rsid w:val="000008A4"/>
    <w:rsid w:val="00002DC2"/>
    <w:rsid w:val="000032EA"/>
    <w:rsid w:val="000048B8"/>
    <w:rsid w:val="000054E6"/>
    <w:rsid w:val="00006AA8"/>
    <w:rsid w:val="000074FC"/>
    <w:rsid w:val="00014732"/>
    <w:rsid w:val="00023136"/>
    <w:rsid w:val="00023451"/>
    <w:rsid w:val="0003298F"/>
    <w:rsid w:val="00033DBB"/>
    <w:rsid w:val="00037E27"/>
    <w:rsid w:val="0004285F"/>
    <w:rsid w:val="00047E18"/>
    <w:rsid w:val="000568AE"/>
    <w:rsid w:val="00056B50"/>
    <w:rsid w:val="00057D33"/>
    <w:rsid w:val="00060698"/>
    <w:rsid w:val="00084C0D"/>
    <w:rsid w:val="00090D43"/>
    <w:rsid w:val="000932B3"/>
    <w:rsid w:val="00093454"/>
    <w:rsid w:val="000951BF"/>
    <w:rsid w:val="000966B4"/>
    <w:rsid w:val="000A0344"/>
    <w:rsid w:val="000A0488"/>
    <w:rsid w:val="000A16E5"/>
    <w:rsid w:val="000A5D37"/>
    <w:rsid w:val="000B0913"/>
    <w:rsid w:val="000B0BE0"/>
    <w:rsid w:val="000B171F"/>
    <w:rsid w:val="000C103D"/>
    <w:rsid w:val="000C2112"/>
    <w:rsid w:val="000C24D7"/>
    <w:rsid w:val="000C4F43"/>
    <w:rsid w:val="000C681F"/>
    <w:rsid w:val="000C6877"/>
    <w:rsid w:val="000C7AB3"/>
    <w:rsid w:val="000D1324"/>
    <w:rsid w:val="000D3BDE"/>
    <w:rsid w:val="000E0292"/>
    <w:rsid w:val="000E16E7"/>
    <w:rsid w:val="000E16F9"/>
    <w:rsid w:val="000E1F4B"/>
    <w:rsid w:val="000E6FCF"/>
    <w:rsid w:val="000E7E5B"/>
    <w:rsid w:val="000F1024"/>
    <w:rsid w:val="000F1068"/>
    <w:rsid w:val="000F5262"/>
    <w:rsid w:val="000F5BAE"/>
    <w:rsid w:val="00105AF2"/>
    <w:rsid w:val="001078E2"/>
    <w:rsid w:val="00111615"/>
    <w:rsid w:val="00113A31"/>
    <w:rsid w:val="00114062"/>
    <w:rsid w:val="00116992"/>
    <w:rsid w:val="00117B27"/>
    <w:rsid w:val="0012299D"/>
    <w:rsid w:val="00123501"/>
    <w:rsid w:val="0013329E"/>
    <w:rsid w:val="00133A72"/>
    <w:rsid w:val="001349C0"/>
    <w:rsid w:val="001425F7"/>
    <w:rsid w:val="00145584"/>
    <w:rsid w:val="00150B9C"/>
    <w:rsid w:val="00155B76"/>
    <w:rsid w:val="00163274"/>
    <w:rsid w:val="00163EAE"/>
    <w:rsid w:val="00165866"/>
    <w:rsid w:val="00173721"/>
    <w:rsid w:val="00175630"/>
    <w:rsid w:val="00186482"/>
    <w:rsid w:val="00197759"/>
    <w:rsid w:val="00197BF7"/>
    <w:rsid w:val="001A57E3"/>
    <w:rsid w:val="001A6EA6"/>
    <w:rsid w:val="001A7E03"/>
    <w:rsid w:val="001B553B"/>
    <w:rsid w:val="001B6B86"/>
    <w:rsid w:val="001C0F02"/>
    <w:rsid w:val="001C260E"/>
    <w:rsid w:val="001C44AC"/>
    <w:rsid w:val="001C7DE8"/>
    <w:rsid w:val="001D0542"/>
    <w:rsid w:val="001D1EE8"/>
    <w:rsid w:val="001D3903"/>
    <w:rsid w:val="001D475A"/>
    <w:rsid w:val="001D60BE"/>
    <w:rsid w:val="001D610E"/>
    <w:rsid w:val="001E4D1C"/>
    <w:rsid w:val="001F2581"/>
    <w:rsid w:val="001F5429"/>
    <w:rsid w:val="001F5548"/>
    <w:rsid w:val="002010DE"/>
    <w:rsid w:val="00206830"/>
    <w:rsid w:val="00211384"/>
    <w:rsid w:val="00212205"/>
    <w:rsid w:val="00217361"/>
    <w:rsid w:val="002201AC"/>
    <w:rsid w:val="0022202E"/>
    <w:rsid w:val="00225340"/>
    <w:rsid w:val="00226BC0"/>
    <w:rsid w:val="00227803"/>
    <w:rsid w:val="0023259A"/>
    <w:rsid w:val="00233294"/>
    <w:rsid w:val="002370D6"/>
    <w:rsid w:val="002416E0"/>
    <w:rsid w:val="00242818"/>
    <w:rsid w:val="00243B5E"/>
    <w:rsid w:val="0024534C"/>
    <w:rsid w:val="00245FF0"/>
    <w:rsid w:val="002552CC"/>
    <w:rsid w:val="0025634F"/>
    <w:rsid w:val="00256C40"/>
    <w:rsid w:val="00257E49"/>
    <w:rsid w:val="00267496"/>
    <w:rsid w:val="0027312B"/>
    <w:rsid w:val="00281A5A"/>
    <w:rsid w:val="00283FB4"/>
    <w:rsid w:val="002840C7"/>
    <w:rsid w:val="00287718"/>
    <w:rsid w:val="00292D4C"/>
    <w:rsid w:val="002A1B2B"/>
    <w:rsid w:val="002A36B5"/>
    <w:rsid w:val="002A42B8"/>
    <w:rsid w:val="002A44DA"/>
    <w:rsid w:val="002A7702"/>
    <w:rsid w:val="002B0C21"/>
    <w:rsid w:val="002B26C2"/>
    <w:rsid w:val="002B34DF"/>
    <w:rsid w:val="002B6C18"/>
    <w:rsid w:val="002B72D4"/>
    <w:rsid w:val="002B74FD"/>
    <w:rsid w:val="002C4EB3"/>
    <w:rsid w:val="002D1E98"/>
    <w:rsid w:val="002E3871"/>
    <w:rsid w:val="002E3EA6"/>
    <w:rsid w:val="002E766D"/>
    <w:rsid w:val="002E7EE7"/>
    <w:rsid w:val="002F48B3"/>
    <w:rsid w:val="002F6825"/>
    <w:rsid w:val="002F7C0E"/>
    <w:rsid w:val="0030720E"/>
    <w:rsid w:val="00310DA0"/>
    <w:rsid w:val="00315B07"/>
    <w:rsid w:val="00324E5E"/>
    <w:rsid w:val="00327B31"/>
    <w:rsid w:val="00333E4B"/>
    <w:rsid w:val="003341B2"/>
    <w:rsid w:val="00340DBF"/>
    <w:rsid w:val="00341685"/>
    <w:rsid w:val="0034210D"/>
    <w:rsid w:val="00343A43"/>
    <w:rsid w:val="00345B9E"/>
    <w:rsid w:val="00346AB6"/>
    <w:rsid w:val="00350C86"/>
    <w:rsid w:val="00351814"/>
    <w:rsid w:val="00353847"/>
    <w:rsid w:val="00353EE1"/>
    <w:rsid w:val="0036745F"/>
    <w:rsid w:val="00371D98"/>
    <w:rsid w:val="003862AF"/>
    <w:rsid w:val="0039312C"/>
    <w:rsid w:val="00395FA6"/>
    <w:rsid w:val="003A21F0"/>
    <w:rsid w:val="003A2446"/>
    <w:rsid w:val="003A65ED"/>
    <w:rsid w:val="003A714E"/>
    <w:rsid w:val="003B695C"/>
    <w:rsid w:val="003C0EF8"/>
    <w:rsid w:val="003D039B"/>
    <w:rsid w:val="003E048B"/>
    <w:rsid w:val="003E10BC"/>
    <w:rsid w:val="003E38E6"/>
    <w:rsid w:val="003F0342"/>
    <w:rsid w:val="003F287F"/>
    <w:rsid w:val="003F3844"/>
    <w:rsid w:val="003F6830"/>
    <w:rsid w:val="003F7C94"/>
    <w:rsid w:val="0041242A"/>
    <w:rsid w:val="004153C1"/>
    <w:rsid w:val="00417449"/>
    <w:rsid w:val="00420065"/>
    <w:rsid w:val="00421EA0"/>
    <w:rsid w:val="004277C5"/>
    <w:rsid w:val="00427D39"/>
    <w:rsid w:val="00430056"/>
    <w:rsid w:val="00440257"/>
    <w:rsid w:val="00443D9A"/>
    <w:rsid w:val="00444120"/>
    <w:rsid w:val="00445B17"/>
    <w:rsid w:val="00452BE5"/>
    <w:rsid w:val="0045620C"/>
    <w:rsid w:val="00456CCD"/>
    <w:rsid w:val="0046133A"/>
    <w:rsid w:val="00466D5E"/>
    <w:rsid w:val="0047194E"/>
    <w:rsid w:val="00475D4B"/>
    <w:rsid w:val="00482A23"/>
    <w:rsid w:val="00484F09"/>
    <w:rsid w:val="0048668E"/>
    <w:rsid w:val="00487E61"/>
    <w:rsid w:val="0049331F"/>
    <w:rsid w:val="00493613"/>
    <w:rsid w:val="00494546"/>
    <w:rsid w:val="004956A9"/>
    <w:rsid w:val="004A0476"/>
    <w:rsid w:val="004A1022"/>
    <w:rsid w:val="004A7CDC"/>
    <w:rsid w:val="004A7DB2"/>
    <w:rsid w:val="004B1AEF"/>
    <w:rsid w:val="004B40CC"/>
    <w:rsid w:val="004C1F55"/>
    <w:rsid w:val="004C61D9"/>
    <w:rsid w:val="004C62F9"/>
    <w:rsid w:val="004D2573"/>
    <w:rsid w:val="004D608C"/>
    <w:rsid w:val="004D73E7"/>
    <w:rsid w:val="004F4896"/>
    <w:rsid w:val="004F6A28"/>
    <w:rsid w:val="00500BA5"/>
    <w:rsid w:val="00501DFA"/>
    <w:rsid w:val="005055A3"/>
    <w:rsid w:val="00525303"/>
    <w:rsid w:val="00530B8F"/>
    <w:rsid w:val="00534E7A"/>
    <w:rsid w:val="0054314B"/>
    <w:rsid w:val="00545694"/>
    <w:rsid w:val="00546224"/>
    <w:rsid w:val="00547EC1"/>
    <w:rsid w:val="005501F8"/>
    <w:rsid w:val="00554EB8"/>
    <w:rsid w:val="00557749"/>
    <w:rsid w:val="00561372"/>
    <w:rsid w:val="0056509F"/>
    <w:rsid w:val="00566272"/>
    <w:rsid w:val="00566E40"/>
    <w:rsid w:val="00567803"/>
    <w:rsid w:val="00575196"/>
    <w:rsid w:val="0057627E"/>
    <w:rsid w:val="00583836"/>
    <w:rsid w:val="0058573D"/>
    <w:rsid w:val="0059073B"/>
    <w:rsid w:val="00590D82"/>
    <w:rsid w:val="0059364D"/>
    <w:rsid w:val="005973E0"/>
    <w:rsid w:val="005979A4"/>
    <w:rsid w:val="005A0760"/>
    <w:rsid w:val="005A0A9C"/>
    <w:rsid w:val="005A1E28"/>
    <w:rsid w:val="005A3209"/>
    <w:rsid w:val="005A4279"/>
    <w:rsid w:val="005A44BB"/>
    <w:rsid w:val="005B3784"/>
    <w:rsid w:val="005C0F8D"/>
    <w:rsid w:val="005C19BD"/>
    <w:rsid w:val="005C511F"/>
    <w:rsid w:val="005C720D"/>
    <w:rsid w:val="005D23F7"/>
    <w:rsid w:val="005E25F9"/>
    <w:rsid w:val="005E4234"/>
    <w:rsid w:val="005F2368"/>
    <w:rsid w:val="005F2A93"/>
    <w:rsid w:val="005F6054"/>
    <w:rsid w:val="00601A8E"/>
    <w:rsid w:val="006023A5"/>
    <w:rsid w:val="00604B58"/>
    <w:rsid w:val="00605523"/>
    <w:rsid w:val="00605DFA"/>
    <w:rsid w:val="00606B1D"/>
    <w:rsid w:val="0061144D"/>
    <w:rsid w:val="00611BBF"/>
    <w:rsid w:val="006122E9"/>
    <w:rsid w:val="00612922"/>
    <w:rsid w:val="00612C42"/>
    <w:rsid w:val="0061429E"/>
    <w:rsid w:val="006147C6"/>
    <w:rsid w:val="00615B8F"/>
    <w:rsid w:val="00616349"/>
    <w:rsid w:val="00621061"/>
    <w:rsid w:val="006213E3"/>
    <w:rsid w:val="00625A97"/>
    <w:rsid w:val="00632544"/>
    <w:rsid w:val="0063463B"/>
    <w:rsid w:val="006373CC"/>
    <w:rsid w:val="00640CE8"/>
    <w:rsid w:val="00646A19"/>
    <w:rsid w:val="00650894"/>
    <w:rsid w:val="00654AED"/>
    <w:rsid w:val="006626A6"/>
    <w:rsid w:val="00665FC6"/>
    <w:rsid w:val="00667399"/>
    <w:rsid w:val="00673C9E"/>
    <w:rsid w:val="00673D89"/>
    <w:rsid w:val="0068279C"/>
    <w:rsid w:val="0068442C"/>
    <w:rsid w:val="00684FAF"/>
    <w:rsid w:val="00692729"/>
    <w:rsid w:val="0069315D"/>
    <w:rsid w:val="00696085"/>
    <w:rsid w:val="00696867"/>
    <w:rsid w:val="006A38E0"/>
    <w:rsid w:val="006B07BA"/>
    <w:rsid w:val="006B2E2D"/>
    <w:rsid w:val="006B36D4"/>
    <w:rsid w:val="006B4B2F"/>
    <w:rsid w:val="006B6E5E"/>
    <w:rsid w:val="006B7BA2"/>
    <w:rsid w:val="006C6403"/>
    <w:rsid w:val="006D2450"/>
    <w:rsid w:val="006D24C6"/>
    <w:rsid w:val="006D7BE1"/>
    <w:rsid w:val="006E2B63"/>
    <w:rsid w:val="006E7432"/>
    <w:rsid w:val="006F6C11"/>
    <w:rsid w:val="006F7CD7"/>
    <w:rsid w:val="00703B17"/>
    <w:rsid w:val="007053A7"/>
    <w:rsid w:val="00711ABD"/>
    <w:rsid w:val="00723BD3"/>
    <w:rsid w:val="007271D5"/>
    <w:rsid w:val="00727836"/>
    <w:rsid w:val="00732E14"/>
    <w:rsid w:val="0073496F"/>
    <w:rsid w:val="00737358"/>
    <w:rsid w:val="00737A73"/>
    <w:rsid w:val="00737D41"/>
    <w:rsid w:val="007443F7"/>
    <w:rsid w:val="0075043D"/>
    <w:rsid w:val="00753F58"/>
    <w:rsid w:val="007553FA"/>
    <w:rsid w:val="00755A8B"/>
    <w:rsid w:val="007614F9"/>
    <w:rsid w:val="00764759"/>
    <w:rsid w:val="00781EC4"/>
    <w:rsid w:val="00786284"/>
    <w:rsid w:val="007874A9"/>
    <w:rsid w:val="0079123B"/>
    <w:rsid w:val="007933A1"/>
    <w:rsid w:val="007A0404"/>
    <w:rsid w:val="007A35A0"/>
    <w:rsid w:val="007A405C"/>
    <w:rsid w:val="007B01E7"/>
    <w:rsid w:val="007B21F0"/>
    <w:rsid w:val="007B252E"/>
    <w:rsid w:val="007B6577"/>
    <w:rsid w:val="007C4666"/>
    <w:rsid w:val="007D0FFA"/>
    <w:rsid w:val="007D55F1"/>
    <w:rsid w:val="007D6CDB"/>
    <w:rsid w:val="007D6FBD"/>
    <w:rsid w:val="007D7150"/>
    <w:rsid w:val="007D7CBC"/>
    <w:rsid w:val="007E4A00"/>
    <w:rsid w:val="007F06CC"/>
    <w:rsid w:val="007F138A"/>
    <w:rsid w:val="007F1F75"/>
    <w:rsid w:val="007F24C2"/>
    <w:rsid w:val="00806AFB"/>
    <w:rsid w:val="0081682E"/>
    <w:rsid w:val="00820E1C"/>
    <w:rsid w:val="008232BF"/>
    <w:rsid w:val="008261ED"/>
    <w:rsid w:val="00826346"/>
    <w:rsid w:val="00826EC3"/>
    <w:rsid w:val="00827109"/>
    <w:rsid w:val="00841634"/>
    <w:rsid w:val="00843C46"/>
    <w:rsid w:val="00844647"/>
    <w:rsid w:val="00847A1C"/>
    <w:rsid w:val="00855F66"/>
    <w:rsid w:val="008701D2"/>
    <w:rsid w:val="008707AA"/>
    <w:rsid w:val="00871363"/>
    <w:rsid w:val="00881497"/>
    <w:rsid w:val="00892E83"/>
    <w:rsid w:val="00892F00"/>
    <w:rsid w:val="008A0D99"/>
    <w:rsid w:val="008A1DA9"/>
    <w:rsid w:val="008A2C0C"/>
    <w:rsid w:val="008A603B"/>
    <w:rsid w:val="008B6201"/>
    <w:rsid w:val="008C30AE"/>
    <w:rsid w:val="008D2C99"/>
    <w:rsid w:val="008D3A3B"/>
    <w:rsid w:val="008E42A1"/>
    <w:rsid w:val="008F0DF7"/>
    <w:rsid w:val="008F18CE"/>
    <w:rsid w:val="008F1EF3"/>
    <w:rsid w:val="008F3A0A"/>
    <w:rsid w:val="008F40AB"/>
    <w:rsid w:val="008F7DD3"/>
    <w:rsid w:val="00901FF1"/>
    <w:rsid w:val="009045F5"/>
    <w:rsid w:val="00910D05"/>
    <w:rsid w:val="009118B5"/>
    <w:rsid w:val="00914C5B"/>
    <w:rsid w:val="00915B63"/>
    <w:rsid w:val="009245D1"/>
    <w:rsid w:val="009262D1"/>
    <w:rsid w:val="009277B0"/>
    <w:rsid w:val="009347EC"/>
    <w:rsid w:val="00952563"/>
    <w:rsid w:val="00952865"/>
    <w:rsid w:val="00952C21"/>
    <w:rsid w:val="00957552"/>
    <w:rsid w:val="0096153A"/>
    <w:rsid w:val="00961C09"/>
    <w:rsid w:val="009662A9"/>
    <w:rsid w:val="0097458B"/>
    <w:rsid w:val="009745FB"/>
    <w:rsid w:val="009834C1"/>
    <w:rsid w:val="00986370"/>
    <w:rsid w:val="00990B2E"/>
    <w:rsid w:val="00994C1A"/>
    <w:rsid w:val="009B3B10"/>
    <w:rsid w:val="009B5199"/>
    <w:rsid w:val="009B63A8"/>
    <w:rsid w:val="009C48F8"/>
    <w:rsid w:val="009C5B94"/>
    <w:rsid w:val="009E166D"/>
    <w:rsid w:val="009E1D13"/>
    <w:rsid w:val="009E298F"/>
    <w:rsid w:val="009E31A9"/>
    <w:rsid w:val="009E363A"/>
    <w:rsid w:val="009F375C"/>
    <w:rsid w:val="00A0033B"/>
    <w:rsid w:val="00A0059F"/>
    <w:rsid w:val="00A016BC"/>
    <w:rsid w:val="00A04EF3"/>
    <w:rsid w:val="00A167CA"/>
    <w:rsid w:val="00A16A01"/>
    <w:rsid w:val="00A20C9C"/>
    <w:rsid w:val="00A216C9"/>
    <w:rsid w:val="00A23490"/>
    <w:rsid w:val="00A23F7B"/>
    <w:rsid w:val="00A25FD4"/>
    <w:rsid w:val="00A30C64"/>
    <w:rsid w:val="00A3624C"/>
    <w:rsid w:val="00A37A3A"/>
    <w:rsid w:val="00A40F83"/>
    <w:rsid w:val="00A44638"/>
    <w:rsid w:val="00A44D2A"/>
    <w:rsid w:val="00A47C61"/>
    <w:rsid w:val="00A51E5B"/>
    <w:rsid w:val="00A563BC"/>
    <w:rsid w:val="00A60D96"/>
    <w:rsid w:val="00A6130D"/>
    <w:rsid w:val="00A62983"/>
    <w:rsid w:val="00A70C22"/>
    <w:rsid w:val="00A75745"/>
    <w:rsid w:val="00A75AEB"/>
    <w:rsid w:val="00A80154"/>
    <w:rsid w:val="00A90B65"/>
    <w:rsid w:val="00A90F34"/>
    <w:rsid w:val="00A944A4"/>
    <w:rsid w:val="00AA1284"/>
    <w:rsid w:val="00AA5B89"/>
    <w:rsid w:val="00AA670B"/>
    <w:rsid w:val="00AA6D59"/>
    <w:rsid w:val="00AA762E"/>
    <w:rsid w:val="00AB3330"/>
    <w:rsid w:val="00AB663B"/>
    <w:rsid w:val="00AC0516"/>
    <w:rsid w:val="00AC0E35"/>
    <w:rsid w:val="00AC3A72"/>
    <w:rsid w:val="00AC56AE"/>
    <w:rsid w:val="00AC5C71"/>
    <w:rsid w:val="00AD0A81"/>
    <w:rsid w:val="00AD12E6"/>
    <w:rsid w:val="00AD1D7E"/>
    <w:rsid w:val="00AD21B5"/>
    <w:rsid w:val="00AE226E"/>
    <w:rsid w:val="00AF1431"/>
    <w:rsid w:val="00AF357C"/>
    <w:rsid w:val="00B0015D"/>
    <w:rsid w:val="00B005AE"/>
    <w:rsid w:val="00B00ED4"/>
    <w:rsid w:val="00B0136A"/>
    <w:rsid w:val="00B127BA"/>
    <w:rsid w:val="00B16D0A"/>
    <w:rsid w:val="00B23310"/>
    <w:rsid w:val="00B25538"/>
    <w:rsid w:val="00B31149"/>
    <w:rsid w:val="00B422D1"/>
    <w:rsid w:val="00B43215"/>
    <w:rsid w:val="00B50879"/>
    <w:rsid w:val="00B536CE"/>
    <w:rsid w:val="00B5467B"/>
    <w:rsid w:val="00B56C56"/>
    <w:rsid w:val="00B576A4"/>
    <w:rsid w:val="00B6195E"/>
    <w:rsid w:val="00B63A02"/>
    <w:rsid w:val="00B72442"/>
    <w:rsid w:val="00B747F2"/>
    <w:rsid w:val="00B76624"/>
    <w:rsid w:val="00B773DB"/>
    <w:rsid w:val="00B808B2"/>
    <w:rsid w:val="00B93C96"/>
    <w:rsid w:val="00B948A6"/>
    <w:rsid w:val="00B97819"/>
    <w:rsid w:val="00B97C9E"/>
    <w:rsid w:val="00BB257B"/>
    <w:rsid w:val="00BB3455"/>
    <w:rsid w:val="00BB57B6"/>
    <w:rsid w:val="00BB5FAC"/>
    <w:rsid w:val="00BB65AE"/>
    <w:rsid w:val="00BC2D55"/>
    <w:rsid w:val="00BC2E60"/>
    <w:rsid w:val="00BC464F"/>
    <w:rsid w:val="00BC65DE"/>
    <w:rsid w:val="00BC7D18"/>
    <w:rsid w:val="00BD0EF8"/>
    <w:rsid w:val="00BD1B42"/>
    <w:rsid w:val="00BD4804"/>
    <w:rsid w:val="00BE173C"/>
    <w:rsid w:val="00BF00A3"/>
    <w:rsid w:val="00BF2EDF"/>
    <w:rsid w:val="00BF33D3"/>
    <w:rsid w:val="00BF63DC"/>
    <w:rsid w:val="00BF6A2B"/>
    <w:rsid w:val="00BF6AD5"/>
    <w:rsid w:val="00C02B68"/>
    <w:rsid w:val="00C05CCE"/>
    <w:rsid w:val="00C12A1D"/>
    <w:rsid w:val="00C2411F"/>
    <w:rsid w:val="00C25911"/>
    <w:rsid w:val="00C27FF0"/>
    <w:rsid w:val="00C3239B"/>
    <w:rsid w:val="00C3622E"/>
    <w:rsid w:val="00C50496"/>
    <w:rsid w:val="00C52338"/>
    <w:rsid w:val="00C5653D"/>
    <w:rsid w:val="00C5712F"/>
    <w:rsid w:val="00C60AB9"/>
    <w:rsid w:val="00C62F65"/>
    <w:rsid w:val="00C62FAD"/>
    <w:rsid w:val="00C65597"/>
    <w:rsid w:val="00C71434"/>
    <w:rsid w:val="00C82D19"/>
    <w:rsid w:val="00C8638B"/>
    <w:rsid w:val="00C87311"/>
    <w:rsid w:val="00C9071C"/>
    <w:rsid w:val="00C925DE"/>
    <w:rsid w:val="00CB4BE8"/>
    <w:rsid w:val="00CC2045"/>
    <w:rsid w:val="00CC3375"/>
    <w:rsid w:val="00CC6A2F"/>
    <w:rsid w:val="00CD0ECE"/>
    <w:rsid w:val="00CD1917"/>
    <w:rsid w:val="00CD36F5"/>
    <w:rsid w:val="00CD4528"/>
    <w:rsid w:val="00CE01C2"/>
    <w:rsid w:val="00CE052D"/>
    <w:rsid w:val="00CF126E"/>
    <w:rsid w:val="00CF1464"/>
    <w:rsid w:val="00CF5C07"/>
    <w:rsid w:val="00CF6A0E"/>
    <w:rsid w:val="00CF7A0C"/>
    <w:rsid w:val="00D01606"/>
    <w:rsid w:val="00D01E8E"/>
    <w:rsid w:val="00D01FC5"/>
    <w:rsid w:val="00D025C3"/>
    <w:rsid w:val="00D0436B"/>
    <w:rsid w:val="00D07351"/>
    <w:rsid w:val="00D074E0"/>
    <w:rsid w:val="00D11A21"/>
    <w:rsid w:val="00D12CD2"/>
    <w:rsid w:val="00D13E14"/>
    <w:rsid w:val="00D15EDB"/>
    <w:rsid w:val="00D20B12"/>
    <w:rsid w:val="00D20E79"/>
    <w:rsid w:val="00D2146F"/>
    <w:rsid w:val="00D21CD6"/>
    <w:rsid w:val="00D274C6"/>
    <w:rsid w:val="00D30B8A"/>
    <w:rsid w:val="00D3231F"/>
    <w:rsid w:val="00D36B0E"/>
    <w:rsid w:val="00D43112"/>
    <w:rsid w:val="00D452B5"/>
    <w:rsid w:val="00D45921"/>
    <w:rsid w:val="00D575DF"/>
    <w:rsid w:val="00D658C7"/>
    <w:rsid w:val="00D74866"/>
    <w:rsid w:val="00D74D89"/>
    <w:rsid w:val="00D74DF0"/>
    <w:rsid w:val="00D74E8E"/>
    <w:rsid w:val="00D87066"/>
    <w:rsid w:val="00D93C2E"/>
    <w:rsid w:val="00DA19DD"/>
    <w:rsid w:val="00DA48A1"/>
    <w:rsid w:val="00DB06F3"/>
    <w:rsid w:val="00DB351A"/>
    <w:rsid w:val="00DC1DC7"/>
    <w:rsid w:val="00DC2351"/>
    <w:rsid w:val="00DC6DF0"/>
    <w:rsid w:val="00DC7532"/>
    <w:rsid w:val="00DD1408"/>
    <w:rsid w:val="00DD49C0"/>
    <w:rsid w:val="00DD57BD"/>
    <w:rsid w:val="00DE32EB"/>
    <w:rsid w:val="00DE3DE2"/>
    <w:rsid w:val="00DE5D06"/>
    <w:rsid w:val="00DF0C25"/>
    <w:rsid w:val="00DF6443"/>
    <w:rsid w:val="00E0008A"/>
    <w:rsid w:val="00E012D2"/>
    <w:rsid w:val="00E03A01"/>
    <w:rsid w:val="00E10263"/>
    <w:rsid w:val="00E10842"/>
    <w:rsid w:val="00E11880"/>
    <w:rsid w:val="00E11D4A"/>
    <w:rsid w:val="00E127F6"/>
    <w:rsid w:val="00E1357B"/>
    <w:rsid w:val="00E2334B"/>
    <w:rsid w:val="00E249B4"/>
    <w:rsid w:val="00E27170"/>
    <w:rsid w:val="00E32BFD"/>
    <w:rsid w:val="00E3648E"/>
    <w:rsid w:val="00E36805"/>
    <w:rsid w:val="00E37259"/>
    <w:rsid w:val="00E43CA8"/>
    <w:rsid w:val="00E43E8B"/>
    <w:rsid w:val="00E50F5D"/>
    <w:rsid w:val="00E53E0A"/>
    <w:rsid w:val="00E560A1"/>
    <w:rsid w:val="00E56412"/>
    <w:rsid w:val="00E621CB"/>
    <w:rsid w:val="00E62333"/>
    <w:rsid w:val="00E627D2"/>
    <w:rsid w:val="00E645E5"/>
    <w:rsid w:val="00E753E7"/>
    <w:rsid w:val="00E81ACC"/>
    <w:rsid w:val="00E82486"/>
    <w:rsid w:val="00E96F9D"/>
    <w:rsid w:val="00EA39A7"/>
    <w:rsid w:val="00EA53F6"/>
    <w:rsid w:val="00EA7F63"/>
    <w:rsid w:val="00EB19D0"/>
    <w:rsid w:val="00EC2B01"/>
    <w:rsid w:val="00EC786F"/>
    <w:rsid w:val="00ED4ADD"/>
    <w:rsid w:val="00ED7749"/>
    <w:rsid w:val="00EE768C"/>
    <w:rsid w:val="00EF72E5"/>
    <w:rsid w:val="00F00B88"/>
    <w:rsid w:val="00F00C64"/>
    <w:rsid w:val="00F00DA8"/>
    <w:rsid w:val="00F10F28"/>
    <w:rsid w:val="00F134BA"/>
    <w:rsid w:val="00F155E7"/>
    <w:rsid w:val="00F24D91"/>
    <w:rsid w:val="00F259FD"/>
    <w:rsid w:val="00F27E89"/>
    <w:rsid w:val="00F330B8"/>
    <w:rsid w:val="00F364C5"/>
    <w:rsid w:val="00F369C8"/>
    <w:rsid w:val="00F36E4B"/>
    <w:rsid w:val="00F37415"/>
    <w:rsid w:val="00F37F2D"/>
    <w:rsid w:val="00F45499"/>
    <w:rsid w:val="00F54543"/>
    <w:rsid w:val="00F55B44"/>
    <w:rsid w:val="00F55C14"/>
    <w:rsid w:val="00F611F8"/>
    <w:rsid w:val="00F649A9"/>
    <w:rsid w:val="00F67594"/>
    <w:rsid w:val="00F71D21"/>
    <w:rsid w:val="00F728C6"/>
    <w:rsid w:val="00F7425A"/>
    <w:rsid w:val="00F80B64"/>
    <w:rsid w:val="00F82A54"/>
    <w:rsid w:val="00F85C33"/>
    <w:rsid w:val="00F876A5"/>
    <w:rsid w:val="00F87E84"/>
    <w:rsid w:val="00F9491F"/>
    <w:rsid w:val="00F96BD6"/>
    <w:rsid w:val="00FA0E33"/>
    <w:rsid w:val="00FA638A"/>
    <w:rsid w:val="00FB0049"/>
    <w:rsid w:val="00FB0400"/>
    <w:rsid w:val="00FB30DE"/>
    <w:rsid w:val="00FC49EC"/>
    <w:rsid w:val="00FC5723"/>
    <w:rsid w:val="00FD5B7D"/>
    <w:rsid w:val="00FD5D40"/>
    <w:rsid w:val="00FE1734"/>
    <w:rsid w:val="00FE22D8"/>
    <w:rsid w:val="00FE30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in Text"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paragraph" w:styleId="Heading1">
    <w:name w:val="heading 1"/>
    <w:basedOn w:val="Normal"/>
    <w:next w:val="Normal"/>
    <w:link w:val="Heading1Char"/>
    <w:uiPriority w:val="9"/>
    <w:qFormat/>
    <w:rsid w:val="00B576A4"/>
    <w:pPr>
      <w:jc w:val="center"/>
      <w:outlineLvl w:val="0"/>
    </w:pPr>
    <w:rPr>
      <w:rFonts w:eastAsia="Calibri"/>
      <w:b/>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45694"/>
    <w:rPr>
      <w:color w:val="808080"/>
    </w:rPr>
  </w:style>
  <w:style w:type="paragraph" w:styleId="BalloonText">
    <w:name w:val="Balloon Text"/>
    <w:basedOn w:val="Normal"/>
    <w:link w:val="BalloonTextChar"/>
    <w:rsid w:val="00257E49"/>
    <w:rPr>
      <w:rFonts w:ascii="Tahoma" w:hAnsi="Tahoma" w:cs="Tahoma"/>
      <w:sz w:val="16"/>
      <w:szCs w:val="16"/>
    </w:rPr>
  </w:style>
  <w:style w:type="character" w:customStyle="1" w:styleId="BalloonTextChar">
    <w:name w:val="Balloon Text Char"/>
    <w:basedOn w:val="DefaultParagraphFont"/>
    <w:link w:val="BalloonText"/>
    <w:rsid w:val="00257E49"/>
    <w:rPr>
      <w:rFonts w:ascii="Tahoma" w:hAnsi="Tahoma" w:cs="Tahoma"/>
      <w:sz w:val="16"/>
      <w:szCs w:val="16"/>
    </w:rPr>
  </w:style>
  <w:style w:type="character" w:styleId="CommentReference">
    <w:name w:val="annotation reference"/>
    <w:basedOn w:val="DefaultParagraphFont"/>
    <w:rsid w:val="00547EC1"/>
    <w:rPr>
      <w:sz w:val="16"/>
      <w:szCs w:val="16"/>
    </w:rPr>
  </w:style>
  <w:style w:type="paragraph" w:styleId="CommentText">
    <w:name w:val="annotation text"/>
    <w:basedOn w:val="Normal"/>
    <w:link w:val="CommentTextChar"/>
    <w:rsid w:val="00547EC1"/>
    <w:rPr>
      <w:sz w:val="20"/>
    </w:rPr>
  </w:style>
  <w:style w:type="character" w:customStyle="1" w:styleId="CommentTextChar">
    <w:name w:val="Comment Text Char"/>
    <w:basedOn w:val="DefaultParagraphFont"/>
    <w:link w:val="CommentText"/>
    <w:rsid w:val="00547EC1"/>
    <w:rPr>
      <w:sz w:val="20"/>
    </w:rPr>
  </w:style>
  <w:style w:type="paragraph" w:styleId="CommentSubject">
    <w:name w:val="annotation subject"/>
    <w:basedOn w:val="CommentText"/>
    <w:next w:val="CommentText"/>
    <w:link w:val="CommentSubjectChar"/>
    <w:rsid w:val="00547EC1"/>
    <w:rPr>
      <w:b/>
      <w:bCs/>
    </w:rPr>
  </w:style>
  <w:style w:type="character" w:customStyle="1" w:styleId="CommentSubjectChar">
    <w:name w:val="Comment Subject Char"/>
    <w:basedOn w:val="CommentTextChar"/>
    <w:link w:val="CommentSubject"/>
    <w:rsid w:val="00547EC1"/>
    <w:rPr>
      <w:b/>
      <w:bCs/>
      <w:sz w:val="20"/>
    </w:rPr>
  </w:style>
  <w:style w:type="character" w:styleId="Hyperlink">
    <w:name w:val="Hyperlink"/>
    <w:basedOn w:val="DefaultParagraphFont"/>
    <w:rsid w:val="00CC2045"/>
    <w:rPr>
      <w:color w:val="0563C1" w:themeColor="hyperlink"/>
      <w:u w:val="single"/>
    </w:rPr>
  </w:style>
  <w:style w:type="character" w:styleId="FollowedHyperlink">
    <w:name w:val="FollowedHyperlink"/>
    <w:basedOn w:val="DefaultParagraphFont"/>
    <w:semiHidden/>
    <w:unhideWhenUsed/>
    <w:rsid w:val="00033DBB"/>
    <w:rPr>
      <w:color w:val="954F72" w:themeColor="followedHyperlink"/>
      <w:u w:val="single"/>
    </w:rPr>
  </w:style>
  <w:style w:type="paragraph" w:styleId="Header">
    <w:name w:val="header"/>
    <w:basedOn w:val="Normal"/>
    <w:link w:val="HeaderChar"/>
    <w:uiPriority w:val="99"/>
    <w:unhideWhenUsed/>
    <w:rsid w:val="006122E9"/>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6122E9"/>
    <w:rPr>
      <w:rFonts w:asciiTheme="minorHAnsi" w:eastAsiaTheme="minorEastAsia" w:hAnsiTheme="minorHAnsi"/>
      <w:sz w:val="22"/>
      <w:szCs w:val="22"/>
      <w:lang w:eastAsia="lt-LT"/>
    </w:rPr>
  </w:style>
  <w:style w:type="paragraph" w:styleId="NoSpacing">
    <w:name w:val="No Spacing"/>
    <w:uiPriority w:val="1"/>
    <w:qFormat/>
    <w:rsid w:val="00C27FF0"/>
    <w:rPr>
      <w:rFonts w:ascii="Calibri" w:eastAsia="Calibri" w:hAnsi="Calibri"/>
      <w:sz w:val="22"/>
      <w:szCs w:val="22"/>
      <w:lang w:val="en-GB" w:eastAsia="en-GB"/>
    </w:rPr>
  </w:style>
  <w:style w:type="character" w:customStyle="1" w:styleId="Heading1Char">
    <w:name w:val="Heading 1 Char"/>
    <w:basedOn w:val="DefaultParagraphFont"/>
    <w:link w:val="Heading1"/>
    <w:uiPriority w:val="9"/>
    <w:rsid w:val="00B576A4"/>
    <w:rPr>
      <w:rFonts w:eastAsia="Calibri"/>
      <w:b/>
      <w:szCs w:val="24"/>
      <w:lang w:val="en-GB" w:eastAsia="en-GB"/>
    </w:rPr>
  </w:style>
  <w:style w:type="paragraph" w:customStyle="1" w:styleId="BodyText1">
    <w:name w:val="Body Text1"/>
    <w:basedOn w:val="Normal"/>
    <w:rsid w:val="00615B8F"/>
    <w:pPr>
      <w:suppressAutoHyphens/>
      <w:autoSpaceDE w:val="0"/>
      <w:autoSpaceDN w:val="0"/>
      <w:adjustRightInd w:val="0"/>
      <w:spacing w:line="297" w:lineRule="auto"/>
      <w:ind w:firstLine="312"/>
      <w:jc w:val="both"/>
    </w:pPr>
    <w:rPr>
      <w:color w:val="000000"/>
      <w:sz w:val="20"/>
      <w:lang w:val="en-GB" w:eastAsia="en-GB"/>
    </w:rPr>
  </w:style>
  <w:style w:type="paragraph" w:customStyle="1" w:styleId="Default">
    <w:name w:val="Default"/>
    <w:rsid w:val="00C52338"/>
    <w:pPr>
      <w:autoSpaceDE w:val="0"/>
      <w:autoSpaceDN w:val="0"/>
      <w:adjustRightInd w:val="0"/>
    </w:pPr>
    <w:rPr>
      <w:rFonts w:eastAsia="Calibri"/>
      <w:color w:val="000000"/>
      <w:szCs w:val="24"/>
      <w:lang w:val="en-GB" w:eastAsia="en-GB"/>
    </w:rPr>
  </w:style>
  <w:style w:type="paragraph" w:styleId="PlainText">
    <w:name w:val="Plain Text"/>
    <w:basedOn w:val="Normal"/>
    <w:link w:val="PlainTextChar"/>
    <w:uiPriority w:val="99"/>
    <w:unhideWhenUsed/>
    <w:rsid w:val="005A1E28"/>
    <w:rPr>
      <w:rFonts w:ascii="Calibri" w:eastAsia="Calibri" w:hAnsi="Calibri"/>
      <w:sz w:val="22"/>
      <w:szCs w:val="21"/>
      <w:lang w:val="en-GB" w:eastAsia="en-GB"/>
    </w:rPr>
  </w:style>
  <w:style w:type="character" w:customStyle="1" w:styleId="PlainTextChar">
    <w:name w:val="Plain Text Char"/>
    <w:basedOn w:val="DefaultParagraphFont"/>
    <w:link w:val="PlainText"/>
    <w:uiPriority w:val="99"/>
    <w:rsid w:val="005A1E28"/>
    <w:rPr>
      <w:rFonts w:ascii="Calibri" w:eastAsia="Calibri" w:hAnsi="Calibri"/>
      <w:sz w:val="22"/>
      <w:szCs w:val="21"/>
      <w:lang w:val="en-GB" w:eastAsia="en-GB"/>
    </w:rPr>
  </w:style>
  <w:style w:type="paragraph" w:styleId="HTMLPreformatted">
    <w:name w:val="HTML Preformatted"/>
    <w:basedOn w:val="Normal"/>
    <w:link w:val="HTMLPreformattedChar"/>
    <w:semiHidden/>
    <w:unhideWhenUsed/>
    <w:rsid w:val="0069315D"/>
    <w:rPr>
      <w:rFonts w:ascii="Consolas" w:hAnsi="Consolas"/>
      <w:sz w:val="20"/>
    </w:rPr>
  </w:style>
  <w:style w:type="character" w:customStyle="1" w:styleId="HTMLPreformattedChar">
    <w:name w:val="HTML Preformatted Char"/>
    <w:basedOn w:val="DefaultParagraphFont"/>
    <w:link w:val="HTMLPreformatted"/>
    <w:semiHidden/>
    <w:rsid w:val="0069315D"/>
    <w:rPr>
      <w:rFonts w:ascii="Consolas" w:hAnsi="Consola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in Text"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paragraph" w:styleId="Heading1">
    <w:name w:val="heading 1"/>
    <w:basedOn w:val="Normal"/>
    <w:next w:val="Normal"/>
    <w:link w:val="Heading1Char"/>
    <w:uiPriority w:val="9"/>
    <w:qFormat/>
    <w:rsid w:val="00B576A4"/>
    <w:pPr>
      <w:jc w:val="center"/>
      <w:outlineLvl w:val="0"/>
    </w:pPr>
    <w:rPr>
      <w:rFonts w:eastAsia="Calibri"/>
      <w:b/>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45694"/>
    <w:rPr>
      <w:color w:val="808080"/>
    </w:rPr>
  </w:style>
  <w:style w:type="paragraph" w:styleId="BalloonText">
    <w:name w:val="Balloon Text"/>
    <w:basedOn w:val="Normal"/>
    <w:link w:val="BalloonTextChar"/>
    <w:rsid w:val="00257E49"/>
    <w:rPr>
      <w:rFonts w:ascii="Tahoma" w:hAnsi="Tahoma" w:cs="Tahoma"/>
      <w:sz w:val="16"/>
      <w:szCs w:val="16"/>
    </w:rPr>
  </w:style>
  <w:style w:type="character" w:customStyle="1" w:styleId="BalloonTextChar">
    <w:name w:val="Balloon Text Char"/>
    <w:basedOn w:val="DefaultParagraphFont"/>
    <w:link w:val="BalloonText"/>
    <w:rsid w:val="00257E49"/>
    <w:rPr>
      <w:rFonts w:ascii="Tahoma" w:hAnsi="Tahoma" w:cs="Tahoma"/>
      <w:sz w:val="16"/>
      <w:szCs w:val="16"/>
    </w:rPr>
  </w:style>
  <w:style w:type="character" w:styleId="CommentReference">
    <w:name w:val="annotation reference"/>
    <w:basedOn w:val="DefaultParagraphFont"/>
    <w:rsid w:val="00547EC1"/>
    <w:rPr>
      <w:sz w:val="16"/>
      <w:szCs w:val="16"/>
    </w:rPr>
  </w:style>
  <w:style w:type="paragraph" w:styleId="CommentText">
    <w:name w:val="annotation text"/>
    <w:basedOn w:val="Normal"/>
    <w:link w:val="CommentTextChar"/>
    <w:rsid w:val="00547EC1"/>
    <w:rPr>
      <w:sz w:val="20"/>
    </w:rPr>
  </w:style>
  <w:style w:type="character" w:customStyle="1" w:styleId="CommentTextChar">
    <w:name w:val="Comment Text Char"/>
    <w:basedOn w:val="DefaultParagraphFont"/>
    <w:link w:val="CommentText"/>
    <w:rsid w:val="00547EC1"/>
    <w:rPr>
      <w:sz w:val="20"/>
    </w:rPr>
  </w:style>
  <w:style w:type="paragraph" w:styleId="CommentSubject">
    <w:name w:val="annotation subject"/>
    <w:basedOn w:val="CommentText"/>
    <w:next w:val="CommentText"/>
    <w:link w:val="CommentSubjectChar"/>
    <w:rsid w:val="00547EC1"/>
    <w:rPr>
      <w:b/>
      <w:bCs/>
    </w:rPr>
  </w:style>
  <w:style w:type="character" w:customStyle="1" w:styleId="CommentSubjectChar">
    <w:name w:val="Comment Subject Char"/>
    <w:basedOn w:val="CommentTextChar"/>
    <w:link w:val="CommentSubject"/>
    <w:rsid w:val="00547EC1"/>
    <w:rPr>
      <w:b/>
      <w:bCs/>
      <w:sz w:val="20"/>
    </w:rPr>
  </w:style>
  <w:style w:type="character" w:styleId="Hyperlink">
    <w:name w:val="Hyperlink"/>
    <w:basedOn w:val="DefaultParagraphFont"/>
    <w:rsid w:val="00CC2045"/>
    <w:rPr>
      <w:color w:val="0563C1" w:themeColor="hyperlink"/>
      <w:u w:val="single"/>
    </w:rPr>
  </w:style>
  <w:style w:type="character" w:styleId="FollowedHyperlink">
    <w:name w:val="FollowedHyperlink"/>
    <w:basedOn w:val="DefaultParagraphFont"/>
    <w:semiHidden/>
    <w:unhideWhenUsed/>
    <w:rsid w:val="00033DBB"/>
    <w:rPr>
      <w:color w:val="954F72" w:themeColor="followedHyperlink"/>
      <w:u w:val="single"/>
    </w:rPr>
  </w:style>
  <w:style w:type="paragraph" w:styleId="Header">
    <w:name w:val="header"/>
    <w:basedOn w:val="Normal"/>
    <w:link w:val="HeaderChar"/>
    <w:uiPriority w:val="99"/>
    <w:unhideWhenUsed/>
    <w:rsid w:val="006122E9"/>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6122E9"/>
    <w:rPr>
      <w:rFonts w:asciiTheme="minorHAnsi" w:eastAsiaTheme="minorEastAsia" w:hAnsiTheme="minorHAnsi"/>
      <w:sz w:val="22"/>
      <w:szCs w:val="22"/>
      <w:lang w:eastAsia="lt-LT"/>
    </w:rPr>
  </w:style>
  <w:style w:type="paragraph" w:styleId="NoSpacing">
    <w:name w:val="No Spacing"/>
    <w:uiPriority w:val="1"/>
    <w:qFormat/>
    <w:rsid w:val="00C27FF0"/>
    <w:rPr>
      <w:rFonts w:ascii="Calibri" w:eastAsia="Calibri" w:hAnsi="Calibri"/>
      <w:sz w:val="22"/>
      <w:szCs w:val="22"/>
      <w:lang w:val="en-GB" w:eastAsia="en-GB"/>
    </w:rPr>
  </w:style>
  <w:style w:type="character" w:customStyle="1" w:styleId="Heading1Char">
    <w:name w:val="Heading 1 Char"/>
    <w:basedOn w:val="DefaultParagraphFont"/>
    <w:link w:val="Heading1"/>
    <w:uiPriority w:val="9"/>
    <w:rsid w:val="00B576A4"/>
    <w:rPr>
      <w:rFonts w:eastAsia="Calibri"/>
      <w:b/>
      <w:szCs w:val="24"/>
      <w:lang w:val="en-GB" w:eastAsia="en-GB"/>
    </w:rPr>
  </w:style>
  <w:style w:type="paragraph" w:customStyle="1" w:styleId="BodyText1">
    <w:name w:val="Body Text1"/>
    <w:basedOn w:val="Normal"/>
    <w:rsid w:val="00615B8F"/>
    <w:pPr>
      <w:suppressAutoHyphens/>
      <w:autoSpaceDE w:val="0"/>
      <w:autoSpaceDN w:val="0"/>
      <w:adjustRightInd w:val="0"/>
      <w:spacing w:line="297" w:lineRule="auto"/>
      <w:ind w:firstLine="312"/>
      <w:jc w:val="both"/>
    </w:pPr>
    <w:rPr>
      <w:color w:val="000000"/>
      <w:sz w:val="20"/>
      <w:lang w:val="en-GB" w:eastAsia="en-GB"/>
    </w:rPr>
  </w:style>
  <w:style w:type="paragraph" w:customStyle="1" w:styleId="Default">
    <w:name w:val="Default"/>
    <w:rsid w:val="00C52338"/>
    <w:pPr>
      <w:autoSpaceDE w:val="0"/>
      <w:autoSpaceDN w:val="0"/>
      <w:adjustRightInd w:val="0"/>
    </w:pPr>
    <w:rPr>
      <w:rFonts w:eastAsia="Calibri"/>
      <w:color w:val="000000"/>
      <w:szCs w:val="24"/>
      <w:lang w:val="en-GB" w:eastAsia="en-GB"/>
    </w:rPr>
  </w:style>
  <w:style w:type="paragraph" w:styleId="PlainText">
    <w:name w:val="Plain Text"/>
    <w:basedOn w:val="Normal"/>
    <w:link w:val="PlainTextChar"/>
    <w:uiPriority w:val="99"/>
    <w:unhideWhenUsed/>
    <w:rsid w:val="005A1E28"/>
    <w:rPr>
      <w:rFonts w:ascii="Calibri" w:eastAsia="Calibri" w:hAnsi="Calibri"/>
      <w:sz w:val="22"/>
      <w:szCs w:val="21"/>
      <w:lang w:val="en-GB" w:eastAsia="en-GB"/>
    </w:rPr>
  </w:style>
  <w:style w:type="character" w:customStyle="1" w:styleId="PlainTextChar">
    <w:name w:val="Plain Text Char"/>
    <w:basedOn w:val="DefaultParagraphFont"/>
    <w:link w:val="PlainText"/>
    <w:uiPriority w:val="99"/>
    <w:rsid w:val="005A1E28"/>
    <w:rPr>
      <w:rFonts w:ascii="Calibri" w:eastAsia="Calibri" w:hAnsi="Calibri"/>
      <w:sz w:val="22"/>
      <w:szCs w:val="21"/>
      <w:lang w:val="en-GB" w:eastAsia="en-GB"/>
    </w:rPr>
  </w:style>
  <w:style w:type="paragraph" w:styleId="HTMLPreformatted">
    <w:name w:val="HTML Preformatted"/>
    <w:basedOn w:val="Normal"/>
    <w:link w:val="HTMLPreformattedChar"/>
    <w:semiHidden/>
    <w:unhideWhenUsed/>
    <w:rsid w:val="0069315D"/>
    <w:rPr>
      <w:rFonts w:ascii="Consolas" w:hAnsi="Consolas"/>
      <w:sz w:val="20"/>
    </w:rPr>
  </w:style>
  <w:style w:type="character" w:customStyle="1" w:styleId="HTMLPreformattedChar">
    <w:name w:val="HTML Preformatted Char"/>
    <w:basedOn w:val="DefaultParagraphFont"/>
    <w:link w:val="HTMLPreformatted"/>
    <w:semiHidden/>
    <w:rsid w:val="0069315D"/>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7246">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61520500">
      <w:bodyDiv w:val="1"/>
      <w:marLeft w:val="0"/>
      <w:marRight w:val="0"/>
      <w:marTop w:val="0"/>
      <w:marBottom w:val="0"/>
      <w:divBdr>
        <w:top w:val="none" w:sz="0" w:space="0" w:color="auto"/>
        <w:left w:val="none" w:sz="0" w:space="0" w:color="auto"/>
        <w:bottom w:val="none" w:sz="0" w:space="0" w:color="auto"/>
        <w:right w:val="none" w:sz="0" w:space="0" w:color="auto"/>
      </w:divBdr>
    </w:div>
    <w:div w:id="824902296">
      <w:bodyDiv w:val="1"/>
      <w:marLeft w:val="0"/>
      <w:marRight w:val="0"/>
      <w:marTop w:val="0"/>
      <w:marBottom w:val="0"/>
      <w:divBdr>
        <w:top w:val="none" w:sz="0" w:space="0" w:color="auto"/>
        <w:left w:val="none" w:sz="0" w:space="0" w:color="auto"/>
        <w:bottom w:val="none" w:sz="0" w:space="0" w:color="auto"/>
        <w:right w:val="none" w:sz="0" w:space="0" w:color="auto"/>
      </w:divBdr>
    </w:div>
    <w:div w:id="1214152457">
      <w:bodyDiv w:val="1"/>
      <w:marLeft w:val="0"/>
      <w:marRight w:val="0"/>
      <w:marTop w:val="0"/>
      <w:marBottom w:val="0"/>
      <w:divBdr>
        <w:top w:val="none" w:sz="0" w:space="0" w:color="auto"/>
        <w:left w:val="none" w:sz="0" w:space="0" w:color="auto"/>
        <w:bottom w:val="none" w:sz="0" w:space="0" w:color="auto"/>
        <w:right w:val="none" w:sz="0" w:space="0" w:color="auto"/>
      </w:divBdr>
    </w:div>
    <w:div w:id="149941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sinvesticijos.lt" TargetMode="External"/><Relationship Id="rId18" Type="http://schemas.openxmlformats.org/officeDocument/2006/relationships/hyperlink" Target="http://www.lmt.lt" TargetMode="External"/><Relationship Id="rId26" Type="http://schemas.openxmlformats.org/officeDocument/2006/relationships/hyperlink" Target="http://www.lmt.lta" TargetMode="External"/><Relationship Id="rId39" Type="http://schemas.openxmlformats.org/officeDocument/2006/relationships/footer" Target="footer1.xml"/><Relationship Id="rId21" Type="http://schemas.openxmlformats.org/officeDocument/2006/relationships/hyperlink" Target="http://www.esinvesticijos.lt/lt/dokumentai/supaprastinto-islaidu-apmokejimo-tyrimai" TargetMode="External"/><Relationship Id="rId34" Type="http://schemas.openxmlformats.org/officeDocument/2006/relationships/hyperlink" Target="http://www.esinvesticijos.lt" TargetMode="External"/><Relationship Id="rId42" Type="http://schemas.openxmlformats.org/officeDocument/2006/relationships/footer" Target="footer3.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yperlink" Target="http://www.lmt.lt" TargetMode="External"/><Relationship Id="rId29" Type="http://schemas.openxmlformats.org/officeDocument/2006/relationships/hyperlink" Target="http://www.esinvesticijos.lt"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lmt.lt" TargetMode="External"/><Relationship Id="rId32" Type="http://schemas.openxmlformats.org/officeDocument/2006/relationships/hyperlink" Target="http://www.esinvesticijos.lt"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aikos.smm.lt" TargetMode="External"/><Relationship Id="rId23" Type="http://schemas.openxmlformats.org/officeDocument/2006/relationships/hyperlink" Target="http://www.esinvesticijos.lt/lt/dokumentai/supaprastinto-islaidu-apmokejimo-tyrimai" TargetMode="External"/><Relationship Id="rId28" Type="http://schemas.openxmlformats.org/officeDocument/2006/relationships/hyperlink" Target="http://www.esinvesticijos.lt" TargetMode="External"/><Relationship Id="rId36" Type="http://schemas.openxmlformats.org/officeDocument/2006/relationships/hyperlink" Target="http://www.esinvesticijos.lt" TargetMode="External"/><Relationship Id="rId10" Type="http://schemas.openxmlformats.org/officeDocument/2006/relationships/footnotes" Target="footnotes.xml"/><Relationship Id="rId19" Type="http://schemas.openxmlformats.org/officeDocument/2006/relationships/hyperlink" Target="http://www.esinvesticijos.lt/lt/dokumentai/supaprastinti-islaidu-apmokejimo-tyrimai" TargetMode="External"/><Relationship Id="rId31" Type="http://schemas.openxmlformats.org/officeDocument/2006/relationships/hyperlink" Target="http://www.lmt.lt"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mt.lt" TargetMode="External"/><Relationship Id="rId22" Type="http://schemas.openxmlformats.org/officeDocument/2006/relationships/hyperlink" Target="http://www.lmt.lt" TargetMode="External"/><Relationship Id="rId27" Type="http://schemas.openxmlformats.org/officeDocument/2006/relationships/hyperlink" Target="http://www.esinvesticijos.lt" TargetMode="External"/><Relationship Id="rId30" Type="http://schemas.openxmlformats.org/officeDocument/2006/relationships/hyperlink" Target="http://www.esinvesticijos.lt" TargetMode="External"/><Relationship Id="rId35" Type="http://schemas.openxmlformats.org/officeDocument/2006/relationships/hyperlink" Target="http://www.lmt.lt"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sinvesticijos.lt" TargetMode="External"/><Relationship Id="rId17" Type="http://schemas.openxmlformats.org/officeDocument/2006/relationships/hyperlink" Target="http://www.esinvesticijos.lt/lt/dokumentai/supaprastinti-islaidu-apmokejimo-tyrimai" TargetMode="External"/><Relationship Id="rId25" Type="http://schemas.openxmlformats.org/officeDocument/2006/relationships/hyperlink" Target="http://www.esinvesticijos.lt/lt/dokumentai/supaprastinto-islaidu-apmokejimo-tyrimai" TargetMode="External"/><Relationship Id="rId33" Type="http://schemas.openxmlformats.org/officeDocument/2006/relationships/hyperlink" Target="http://www.lmt.lt" TargetMode="External"/><Relationship Id="rId38"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3E4F4-8700-4628-BC07-8FC1C58A19AA}">
  <ds:schemaRefs>
    <ds:schemaRef ds:uri="http://schemas.microsoft.com/sharepoint/v3/contenttype/forms"/>
  </ds:schemaRefs>
</ds:datastoreItem>
</file>

<file path=customXml/itemProps2.xml><?xml version="1.0" encoding="utf-8"?>
<ds:datastoreItem xmlns:ds="http://schemas.openxmlformats.org/officeDocument/2006/customXml" ds:itemID="{8BEFD6CE-1822-4E1E-8FBB-5EA64A4A2BCF}">
  <ds:schemaRefs>
    <ds:schemaRef ds:uri="http://schemas.microsoft.com/office/2006/metadata/properties"/>
  </ds:schemaRefs>
</ds:datastoreItem>
</file>

<file path=customXml/itemProps3.xml><?xml version="1.0" encoding="utf-8"?>
<ds:datastoreItem xmlns:ds="http://schemas.openxmlformats.org/officeDocument/2006/customXml" ds:itemID="{618C7705-8DE0-4EF8-87D9-13227CFAA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F8CAD1-D292-4A3A-89AC-3D5B0443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18</Pages>
  <Words>10887</Words>
  <Characters>62056</Characters>
  <Application>Microsoft Office Word</Application>
  <DocSecurity>0</DocSecurity>
  <Lines>517</Lines>
  <Paragraphs>145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2478d6c4-f043-4ba1-9863-c11828b31c9b</vt:lpstr>
      <vt:lpstr>2478d6c4-f043-4ba1-9863-c11828b31c9b</vt:lpstr>
    </vt:vector>
  </TitlesOfParts>
  <Company>VKS</Company>
  <LinksUpToDate>false</LinksUpToDate>
  <CharactersWithSpaces>72798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2478d6c4-f043-4ba1-9863-c11828b31c9b</dc:title>
  <dc:creator>Gaidamavičienė Agnė</dc:creator>
  <cp:lastModifiedBy>Egle Miltakiene</cp:lastModifiedBy>
  <cp:revision>38</cp:revision>
  <cp:lastPrinted>2018-01-08T08:58:00Z</cp:lastPrinted>
  <dcterms:created xsi:type="dcterms:W3CDTF">2018-04-30T07:16:00Z</dcterms:created>
  <dcterms:modified xsi:type="dcterms:W3CDTF">2018-05-18T11:36:00Z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