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38"/>
      </w:tblGrid>
      <w:tr w:rsidR="0042278A" w:rsidRPr="0090599F" w14:paraId="2AFCC61E" w14:textId="77777777" w:rsidTr="00D81BB1">
        <w:tc>
          <w:tcPr>
            <w:tcW w:w="9855" w:type="dxa"/>
          </w:tcPr>
          <w:p w14:paraId="0E4ABA55" w14:textId="77777777" w:rsidR="0042278A" w:rsidRPr="0090599F" w:rsidRDefault="0042278A" w:rsidP="00D81BB1">
            <w:pPr>
              <w:overflowPunct w:val="0"/>
              <w:autoSpaceDE w:val="0"/>
              <w:autoSpaceDN w:val="0"/>
              <w:adjustRightInd w:val="0"/>
              <w:jc w:val="center"/>
              <w:rPr>
                <w:lang w:eastAsia="en-US"/>
              </w:rPr>
            </w:pPr>
            <w:r w:rsidRPr="0090599F">
              <w:rPr>
                <w:noProof/>
              </w:rPr>
              <w:drawing>
                <wp:inline distT="0" distB="0" distL="0" distR="0" wp14:anchorId="42577D15" wp14:editId="172E0CDF">
                  <wp:extent cx="552450" cy="565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63DB1A7B" w14:textId="77777777" w:rsidR="0042278A" w:rsidRPr="0090599F" w:rsidRDefault="0042278A" w:rsidP="00D81BB1">
            <w:pPr>
              <w:overflowPunct w:val="0"/>
              <w:autoSpaceDE w:val="0"/>
              <w:autoSpaceDN w:val="0"/>
              <w:adjustRightInd w:val="0"/>
              <w:jc w:val="center"/>
            </w:pPr>
          </w:p>
          <w:p w14:paraId="6793C516" w14:textId="77777777" w:rsidR="0042278A" w:rsidRPr="0090599F" w:rsidRDefault="0042278A" w:rsidP="00D81BB1">
            <w:pPr>
              <w:overflowPunct w:val="0"/>
              <w:autoSpaceDE w:val="0"/>
              <w:autoSpaceDN w:val="0"/>
              <w:adjustRightInd w:val="0"/>
              <w:spacing w:line="276" w:lineRule="auto"/>
              <w:jc w:val="center"/>
              <w:rPr>
                <w:b/>
                <w:bCs/>
                <w:lang w:eastAsia="en-US"/>
              </w:rPr>
            </w:pPr>
            <w:r w:rsidRPr="0090599F">
              <w:rPr>
                <w:b/>
                <w:bCs/>
              </w:rPr>
              <w:t>LIETUVOS MOKSLO TARYBOS PIRMININKAS</w:t>
            </w:r>
          </w:p>
        </w:tc>
      </w:tr>
    </w:tbl>
    <w:p w14:paraId="3E4940AB" w14:textId="77777777" w:rsidR="0042278A" w:rsidRPr="0090599F" w:rsidRDefault="0042278A" w:rsidP="0042278A">
      <w:pPr>
        <w:pStyle w:val="Footer"/>
        <w:tabs>
          <w:tab w:val="center" w:pos="0"/>
          <w:tab w:val="left" w:pos="6480"/>
        </w:tabs>
        <w:jc w:val="center"/>
        <w:rPr>
          <w:b/>
          <w:lang w:eastAsia="en-US"/>
        </w:rPr>
      </w:pPr>
    </w:p>
    <w:tbl>
      <w:tblPr>
        <w:tblW w:w="9354" w:type="dxa"/>
        <w:jc w:val="center"/>
        <w:tblLayout w:type="fixed"/>
        <w:tblLook w:val="0000" w:firstRow="0" w:lastRow="0" w:firstColumn="0" w:lastColumn="0" w:noHBand="0" w:noVBand="0"/>
      </w:tblPr>
      <w:tblGrid>
        <w:gridCol w:w="9354"/>
      </w:tblGrid>
      <w:tr w:rsidR="0042278A" w:rsidRPr="0090599F" w14:paraId="6A521F1F" w14:textId="77777777" w:rsidTr="00D81BB1">
        <w:trPr>
          <w:jc w:val="center"/>
        </w:trPr>
        <w:tc>
          <w:tcPr>
            <w:tcW w:w="9354" w:type="dxa"/>
          </w:tcPr>
          <w:p w14:paraId="1B42BCCF" w14:textId="77777777" w:rsidR="0042278A" w:rsidRPr="0090599F" w:rsidRDefault="0042278A" w:rsidP="00D81BB1">
            <w:pPr>
              <w:spacing w:line="276" w:lineRule="auto"/>
              <w:jc w:val="center"/>
              <w:rPr>
                <w:b/>
              </w:rPr>
            </w:pPr>
            <w:r w:rsidRPr="0090599F">
              <w:rPr>
                <w:b/>
              </w:rPr>
              <w:t>ĮSAKYMAS</w:t>
            </w:r>
          </w:p>
        </w:tc>
      </w:tr>
      <w:tr w:rsidR="0042278A" w:rsidRPr="0090599F" w14:paraId="004012B6" w14:textId="77777777" w:rsidTr="00D81BB1">
        <w:trPr>
          <w:jc w:val="center"/>
        </w:trPr>
        <w:tc>
          <w:tcPr>
            <w:tcW w:w="9354" w:type="dxa"/>
          </w:tcPr>
          <w:p w14:paraId="6B80E4DD" w14:textId="7B093890" w:rsidR="0042278A" w:rsidRPr="0090599F" w:rsidRDefault="0042278A" w:rsidP="00D81BB1">
            <w:pPr>
              <w:pStyle w:val="Heading1"/>
              <w:tabs>
                <w:tab w:val="left" w:pos="1296"/>
              </w:tabs>
              <w:spacing w:line="276" w:lineRule="auto"/>
              <w:ind w:right="-23" w:firstLine="35"/>
              <w:rPr>
                <w:caps/>
                <w:sz w:val="24"/>
              </w:rPr>
            </w:pPr>
            <w:r w:rsidRPr="0090599F">
              <w:rPr>
                <w:caps/>
                <w:sz w:val="24"/>
              </w:rPr>
              <w:t xml:space="preserve">DĖL </w:t>
            </w:r>
            <w:r w:rsidR="00BB5572">
              <w:rPr>
                <w:caps/>
                <w:sz w:val="24"/>
              </w:rPr>
              <w:t>202</w:t>
            </w:r>
            <w:r w:rsidR="001803C2">
              <w:rPr>
                <w:caps/>
                <w:sz w:val="24"/>
              </w:rPr>
              <w:t>5</w:t>
            </w:r>
            <w:r w:rsidR="00BB5572">
              <w:rPr>
                <w:caps/>
                <w:sz w:val="24"/>
              </w:rPr>
              <w:t xml:space="preserve"> M. </w:t>
            </w:r>
            <w:r w:rsidR="00D46D28" w:rsidRPr="0090599F">
              <w:rPr>
                <w:caps/>
                <w:sz w:val="24"/>
              </w:rPr>
              <w:t xml:space="preserve">KVIETIMO </w:t>
            </w:r>
            <w:r w:rsidR="008E1E6D">
              <w:rPr>
                <w:caps/>
                <w:sz w:val="24"/>
              </w:rPr>
              <w:t xml:space="preserve">IRA </w:t>
            </w:r>
            <w:r w:rsidRPr="0090599F">
              <w:rPr>
                <w:caps/>
                <w:sz w:val="24"/>
              </w:rPr>
              <w:t xml:space="preserve">PARAIŠKŲ grupių PATVIRTINIMO </w:t>
            </w:r>
          </w:p>
          <w:p w14:paraId="4AD8F51C" w14:textId="77777777" w:rsidR="0042278A" w:rsidRPr="0090599F" w:rsidRDefault="0042278A" w:rsidP="00D81BB1"/>
        </w:tc>
      </w:tr>
      <w:tr w:rsidR="0042278A" w:rsidRPr="0090599F" w14:paraId="52DE6AEC" w14:textId="77777777" w:rsidTr="00D81BB1">
        <w:trPr>
          <w:jc w:val="center"/>
        </w:trPr>
        <w:tc>
          <w:tcPr>
            <w:tcW w:w="9354" w:type="dxa"/>
          </w:tcPr>
          <w:p w14:paraId="351A73EF" w14:textId="06C010D1" w:rsidR="0042278A" w:rsidRPr="0090599F" w:rsidRDefault="002A1E81" w:rsidP="00D81BB1">
            <w:pPr>
              <w:spacing w:line="276" w:lineRule="auto"/>
              <w:jc w:val="center"/>
            </w:pPr>
            <w:r>
              <w:t>202</w:t>
            </w:r>
            <w:r w:rsidR="001803C2">
              <w:t>5</w:t>
            </w:r>
            <w:r>
              <w:t xml:space="preserve"> m</w:t>
            </w:r>
            <w:r w:rsidRPr="00A675D0">
              <w:t xml:space="preserve">. </w:t>
            </w:r>
            <w:r w:rsidR="00BF7692">
              <w:t xml:space="preserve">rugsėjo </w:t>
            </w:r>
            <w:r w:rsidR="00BF7692">
              <w:rPr>
                <w:lang w:val="en-US"/>
              </w:rPr>
              <w:t xml:space="preserve">12 </w:t>
            </w:r>
            <w:r w:rsidRPr="00A675D0">
              <w:t xml:space="preserve">d. </w:t>
            </w:r>
            <w:r w:rsidR="0042278A" w:rsidRPr="00A675D0">
              <w:t>Nr. V-</w:t>
            </w:r>
            <w:r w:rsidR="00BF7692">
              <w:t>397</w:t>
            </w:r>
          </w:p>
        </w:tc>
      </w:tr>
      <w:tr w:rsidR="0042278A" w:rsidRPr="0090599F" w14:paraId="7DA2FA5B" w14:textId="77777777" w:rsidTr="00D81BB1">
        <w:trPr>
          <w:trHeight w:val="136"/>
          <w:jc w:val="center"/>
        </w:trPr>
        <w:tc>
          <w:tcPr>
            <w:tcW w:w="9354" w:type="dxa"/>
          </w:tcPr>
          <w:p w14:paraId="39B8B275" w14:textId="77777777" w:rsidR="0042278A" w:rsidRPr="0090599F" w:rsidRDefault="0042278A" w:rsidP="00D81BB1">
            <w:pPr>
              <w:spacing w:line="276" w:lineRule="auto"/>
              <w:jc w:val="center"/>
            </w:pPr>
            <w:r w:rsidRPr="0090599F">
              <w:t>Vilnius</w:t>
            </w:r>
          </w:p>
        </w:tc>
      </w:tr>
      <w:tr w:rsidR="0042278A" w:rsidRPr="0090599F" w14:paraId="669AF05B" w14:textId="77777777" w:rsidTr="00D81BB1">
        <w:trPr>
          <w:jc w:val="center"/>
        </w:trPr>
        <w:tc>
          <w:tcPr>
            <w:tcW w:w="9354" w:type="dxa"/>
          </w:tcPr>
          <w:p w14:paraId="706B7CAD" w14:textId="77777777" w:rsidR="0042278A" w:rsidRPr="0090599F" w:rsidRDefault="0042278A" w:rsidP="00D81BB1">
            <w:pPr>
              <w:spacing w:line="276" w:lineRule="auto"/>
            </w:pPr>
          </w:p>
        </w:tc>
      </w:tr>
    </w:tbl>
    <w:p w14:paraId="273F3AFE" w14:textId="3327C144" w:rsidR="0086349F" w:rsidRDefault="0042278A" w:rsidP="00D731CF">
      <w:pPr>
        <w:spacing w:line="276" w:lineRule="auto"/>
        <w:ind w:firstLine="426"/>
        <w:jc w:val="both"/>
      </w:pPr>
      <w:r w:rsidRPr="0090599F">
        <w:t>Vadovaudamasi</w:t>
      </w:r>
      <w:r w:rsidR="00835DE0">
        <w:t>s</w:t>
      </w:r>
      <w:r w:rsidRPr="0090599F">
        <w:t xml:space="preserve"> </w:t>
      </w:r>
      <w:r w:rsidR="00366B9E" w:rsidRPr="0090599F">
        <w:t>Lietuvos mokslo tarybos mokslo ir sklaidos projektų konkursinio finansavimo bendrųjų taisyklių</w:t>
      </w:r>
      <w:r w:rsidR="00366B9E">
        <w:t xml:space="preserve">, patvirtintų </w:t>
      </w:r>
      <w:r w:rsidRPr="0090599F">
        <w:t>Lietuvos mokslo tarybos pirmininko 2019 m. balandžio 4 d. įsakymu Nr. V-176 „Dėl Lietuvos mokslo tarybos mokslo ir sklaidos projektų konkursinio finansavimo bendrųjų taisyklių patvirtinimo“ 30 p</w:t>
      </w:r>
      <w:r w:rsidR="00366B9E">
        <w:t>.</w:t>
      </w:r>
      <w:r w:rsidRPr="0090599F">
        <w:t xml:space="preserve"> ir </w:t>
      </w:r>
      <w:r w:rsidR="00457AFD" w:rsidRPr="0090599F">
        <w:t xml:space="preserve"> </w:t>
      </w:r>
      <w:r w:rsidRPr="0090599F">
        <w:t>įvertin</w:t>
      </w:r>
      <w:r w:rsidR="00566125">
        <w:t>ęs</w:t>
      </w:r>
      <w:r w:rsidR="00457AFD" w:rsidRPr="0090599F">
        <w:t xml:space="preserve"> </w:t>
      </w:r>
      <w:r w:rsidR="0084481D" w:rsidRPr="00CE5660">
        <w:t xml:space="preserve">Lietuvos </w:t>
      </w:r>
      <w:r w:rsidR="00457AFD" w:rsidRPr="00CE5660">
        <w:t xml:space="preserve"> </w:t>
      </w:r>
      <w:r w:rsidR="0084481D" w:rsidRPr="00CE5660">
        <w:t xml:space="preserve">mokslo </w:t>
      </w:r>
      <w:r w:rsidR="00457AFD" w:rsidRPr="00CE5660">
        <w:t xml:space="preserve"> </w:t>
      </w:r>
      <w:r w:rsidR="0084481D" w:rsidRPr="00CE5660">
        <w:t>t</w:t>
      </w:r>
      <w:r w:rsidRPr="00CE5660">
        <w:t xml:space="preserve">arybos </w:t>
      </w:r>
      <w:r w:rsidR="00817BB7" w:rsidRPr="00CE5660">
        <w:t>Gamtos ir technikos</w:t>
      </w:r>
      <w:r w:rsidRPr="00CE5660">
        <w:t xml:space="preserve"> </w:t>
      </w:r>
      <w:r w:rsidR="00457AFD" w:rsidRPr="00CE5660">
        <w:t xml:space="preserve"> </w:t>
      </w:r>
      <w:r w:rsidRPr="00CE5660">
        <w:t xml:space="preserve">mokslų </w:t>
      </w:r>
      <w:r w:rsidRPr="0007142D">
        <w:t>komiteto</w:t>
      </w:r>
      <w:r w:rsidR="00366B9E">
        <w:t xml:space="preserve"> </w:t>
      </w:r>
      <w:r w:rsidRPr="0007142D">
        <w:t>202</w:t>
      </w:r>
      <w:r w:rsidR="00E9764C" w:rsidRPr="0007142D">
        <w:t>5</w:t>
      </w:r>
      <w:r w:rsidRPr="0007142D">
        <w:t xml:space="preserve"> m.</w:t>
      </w:r>
      <w:r w:rsidR="00457AFD" w:rsidRPr="0007142D">
        <w:t xml:space="preserve"> </w:t>
      </w:r>
      <w:r w:rsidR="00E9764C" w:rsidRPr="0007142D">
        <w:t>rugsėjo 1</w:t>
      </w:r>
      <w:r w:rsidR="000873CB" w:rsidRPr="0007142D">
        <w:t xml:space="preserve"> </w:t>
      </w:r>
      <w:r w:rsidRPr="0007142D">
        <w:t xml:space="preserve">d. siūlymą (protokolo Nr. </w:t>
      </w:r>
      <w:r w:rsidR="00817BB7" w:rsidRPr="0007142D">
        <w:t>GTM</w:t>
      </w:r>
      <w:r w:rsidR="00BB3E3E" w:rsidRPr="0007142D">
        <w:t>-</w:t>
      </w:r>
      <w:r w:rsidRPr="0007142D">
        <w:t>P-</w:t>
      </w:r>
      <w:r w:rsidR="0060196F" w:rsidRPr="0007142D">
        <w:t>2</w:t>
      </w:r>
      <w:r w:rsidR="00E9764C" w:rsidRPr="0007142D">
        <w:t>5</w:t>
      </w:r>
      <w:r w:rsidRPr="0007142D">
        <w:t>)</w:t>
      </w:r>
      <w:r w:rsidR="00D02444">
        <w:t xml:space="preserve"> bei</w:t>
      </w:r>
      <w:r w:rsidR="00F0508B" w:rsidRPr="00CE5660">
        <w:t xml:space="preserve"> Humanitarinių ir socialinių mokslų ekspertų komiteto</w:t>
      </w:r>
      <w:r w:rsidR="00366B9E">
        <w:t xml:space="preserve"> </w:t>
      </w:r>
      <w:r w:rsidR="00D84C9E" w:rsidRPr="00E9764C">
        <w:t>202</w:t>
      </w:r>
      <w:r w:rsidR="00E9764C" w:rsidRPr="00E9764C">
        <w:t>5</w:t>
      </w:r>
      <w:r w:rsidR="00D84C9E" w:rsidRPr="00E9764C">
        <w:t xml:space="preserve"> m. </w:t>
      </w:r>
      <w:r w:rsidR="00E9764C" w:rsidRPr="00E9764C">
        <w:t>rugsėjo 8</w:t>
      </w:r>
      <w:r w:rsidR="00D84C9E" w:rsidRPr="00E9764C">
        <w:t xml:space="preserve"> d. </w:t>
      </w:r>
      <w:r w:rsidR="003931A9" w:rsidRPr="00E9764C">
        <w:t>siūlymą (protokolo Nr. HSM-P-</w:t>
      </w:r>
      <w:r w:rsidR="00E9764C" w:rsidRPr="00E9764C">
        <w:t>25</w:t>
      </w:r>
      <w:r w:rsidR="0095118A" w:rsidRPr="00E9764C">
        <w:t xml:space="preserve"> 10)</w:t>
      </w:r>
      <w:r w:rsidRPr="00E9764C">
        <w:t>:</w:t>
      </w:r>
    </w:p>
    <w:p w14:paraId="681B731B" w14:textId="1BB898C1" w:rsidR="00534A94" w:rsidRDefault="00366B9E" w:rsidP="00D731CF">
      <w:pPr>
        <w:pStyle w:val="ListParagraph"/>
        <w:numPr>
          <w:ilvl w:val="0"/>
          <w:numId w:val="3"/>
        </w:numPr>
        <w:spacing w:line="276" w:lineRule="auto"/>
        <w:ind w:left="0" w:firstLine="426"/>
        <w:rPr>
          <w:lang w:val="lt-LT"/>
        </w:rPr>
      </w:pPr>
      <w:r>
        <w:rPr>
          <w:spacing w:val="100"/>
          <w:lang w:val="lt-LT"/>
        </w:rPr>
        <w:t>T</w:t>
      </w:r>
      <w:r w:rsidR="00D46D28" w:rsidRPr="00D731CF">
        <w:rPr>
          <w:spacing w:val="100"/>
          <w:lang w:val="lt-LT"/>
        </w:rPr>
        <w:t>virtinu</w:t>
      </w:r>
      <w:r w:rsidR="00D46D28" w:rsidRPr="00D731CF">
        <w:rPr>
          <w:color w:val="000000"/>
          <w:lang w:val="lt-LT"/>
        </w:rPr>
        <w:t xml:space="preserve"> </w:t>
      </w:r>
      <w:r w:rsidR="0026226A" w:rsidRPr="00D731CF">
        <w:rPr>
          <w:color w:val="000000"/>
          <w:lang w:val="lt-LT"/>
        </w:rPr>
        <w:t>202</w:t>
      </w:r>
      <w:r w:rsidR="0086349F" w:rsidRPr="00D731CF">
        <w:rPr>
          <w:color w:val="000000"/>
          <w:lang w:val="lt-LT"/>
        </w:rPr>
        <w:t>5</w:t>
      </w:r>
      <w:r w:rsidR="0026226A" w:rsidRPr="00D731CF">
        <w:rPr>
          <w:color w:val="000000"/>
          <w:lang w:val="lt-LT"/>
        </w:rPr>
        <w:t xml:space="preserve"> m. kvietimo paraiškų, skirtų mokslo infrastruktūrai atnaujinti, </w:t>
      </w:r>
      <w:r w:rsidR="00D46D28" w:rsidRPr="00D731CF">
        <w:rPr>
          <w:lang w:val="lt-LT"/>
        </w:rPr>
        <w:t>paraiškų grupes</w:t>
      </w:r>
      <w:r w:rsidR="008E2DB5" w:rsidRPr="00D731CF">
        <w:rPr>
          <w:lang w:val="lt-LT"/>
        </w:rPr>
        <w:t xml:space="preserve"> ekspertiniam vertinimui atlikti, sudarytas</w:t>
      </w:r>
      <w:r w:rsidR="00D46D28" w:rsidRPr="00D731CF">
        <w:rPr>
          <w:lang w:val="lt-LT"/>
        </w:rPr>
        <w:t xml:space="preserve"> </w:t>
      </w:r>
      <w:r w:rsidR="00005806" w:rsidRPr="00D731CF">
        <w:rPr>
          <w:lang w:val="lt-LT"/>
        </w:rPr>
        <w:t xml:space="preserve">pagal mokslo </w:t>
      </w:r>
      <w:r w:rsidR="00F04DC9" w:rsidRPr="00D731CF">
        <w:rPr>
          <w:lang w:val="lt-LT"/>
        </w:rPr>
        <w:t>sritis</w:t>
      </w:r>
      <w:r w:rsidR="00D46D28" w:rsidRPr="00D731CF">
        <w:rPr>
          <w:lang w:val="lt-LT"/>
        </w:rPr>
        <w:t>:</w:t>
      </w:r>
    </w:p>
    <w:p w14:paraId="0B0614AA" w14:textId="77777777" w:rsidR="001004EF" w:rsidRPr="001004EF" w:rsidRDefault="001004EF" w:rsidP="001004EF">
      <w:pPr>
        <w:pStyle w:val="ListParagraph"/>
        <w:spacing w:line="276" w:lineRule="auto"/>
        <w:ind w:left="426"/>
        <w:rPr>
          <w:sz w:val="10"/>
          <w:szCs w:val="10"/>
          <w:lang w:val="lt-LT"/>
        </w:rPr>
      </w:pPr>
    </w:p>
    <w:tbl>
      <w:tblPr>
        <w:tblStyle w:val="TableGrid"/>
        <w:tblW w:w="9634" w:type="dxa"/>
        <w:tblLook w:val="04A0" w:firstRow="1" w:lastRow="0" w:firstColumn="1" w:lastColumn="0" w:noHBand="0" w:noVBand="1"/>
      </w:tblPr>
      <w:tblGrid>
        <w:gridCol w:w="2405"/>
        <w:gridCol w:w="7229"/>
      </w:tblGrid>
      <w:tr w:rsidR="0042278A" w:rsidRPr="0090599F" w14:paraId="75DA9842" w14:textId="77777777" w:rsidTr="009B052F">
        <w:tc>
          <w:tcPr>
            <w:tcW w:w="2405" w:type="dxa"/>
          </w:tcPr>
          <w:p w14:paraId="3B2F5339" w14:textId="77777777" w:rsidR="0042278A" w:rsidRPr="0090599F" w:rsidRDefault="0042278A" w:rsidP="00701E85">
            <w:pPr>
              <w:pStyle w:val="ListParagraph"/>
              <w:tabs>
                <w:tab w:val="left" w:pos="851"/>
              </w:tabs>
              <w:spacing w:line="276" w:lineRule="auto"/>
              <w:ind w:left="0" w:right="-29"/>
              <w:jc w:val="both"/>
              <w:rPr>
                <w:lang w:val="lt-LT"/>
              </w:rPr>
            </w:pPr>
            <w:r w:rsidRPr="0090599F">
              <w:rPr>
                <w:lang w:val="lt-LT"/>
              </w:rPr>
              <w:t>Paraiškų grupė</w:t>
            </w:r>
          </w:p>
        </w:tc>
        <w:tc>
          <w:tcPr>
            <w:tcW w:w="7229" w:type="dxa"/>
          </w:tcPr>
          <w:p w14:paraId="219896B6" w14:textId="77777777" w:rsidR="0042278A" w:rsidRPr="0090599F" w:rsidRDefault="0042278A" w:rsidP="00701E85">
            <w:pPr>
              <w:pStyle w:val="ListParagraph"/>
              <w:tabs>
                <w:tab w:val="left" w:pos="851"/>
              </w:tabs>
              <w:spacing w:line="276" w:lineRule="auto"/>
              <w:ind w:left="0" w:right="-29"/>
              <w:jc w:val="both"/>
              <w:rPr>
                <w:lang w:val="lt-LT"/>
              </w:rPr>
            </w:pPr>
            <w:r w:rsidRPr="0090599F">
              <w:rPr>
                <w:lang w:val="lt-LT"/>
              </w:rPr>
              <w:t>Paraiškos registracijos Nr.</w:t>
            </w:r>
          </w:p>
        </w:tc>
      </w:tr>
      <w:tr w:rsidR="0042278A" w:rsidRPr="0090599F" w14:paraId="6349BA74" w14:textId="77777777" w:rsidTr="009B052F">
        <w:trPr>
          <w:trHeight w:val="1563"/>
        </w:trPr>
        <w:tc>
          <w:tcPr>
            <w:tcW w:w="2405" w:type="dxa"/>
          </w:tcPr>
          <w:p w14:paraId="5E101B81" w14:textId="0EFE9DAF" w:rsidR="002001B1" w:rsidRPr="0090599F" w:rsidRDefault="0072555B" w:rsidP="00701E85">
            <w:pPr>
              <w:spacing w:line="276" w:lineRule="auto"/>
              <w:rPr>
                <w:lang w:eastAsia="en-US"/>
              </w:rPr>
            </w:pPr>
            <w:r>
              <w:t>HS</w:t>
            </w:r>
            <w:r w:rsidR="00503902">
              <w:t>M</w:t>
            </w:r>
            <w:r w:rsidR="002001B1" w:rsidRPr="0090599F">
              <w:t xml:space="preserve"> paraiškų grupė</w:t>
            </w:r>
          </w:p>
          <w:p w14:paraId="2AFC03B3" w14:textId="77777777" w:rsidR="0042278A" w:rsidRPr="0090599F" w:rsidRDefault="0042278A" w:rsidP="00701E85">
            <w:pPr>
              <w:pStyle w:val="ListParagraph"/>
              <w:tabs>
                <w:tab w:val="left" w:pos="851"/>
              </w:tabs>
              <w:spacing w:line="276" w:lineRule="auto"/>
              <w:ind w:left="0" w:right="-29"/>
              <w:jc w:val="both"/>
              <w:rPr>
                <w:lang w:val="lt-LT"/>
              </w:rPr>
            </w:pPr>
          </w:p>
        </w:tc>
        <w:tc>
          <w:tcPr>
            <w:tcW w:w="7229" w:type="dxa"/>
          </w:tcPr>
          <w:p w14:paraId="57E77C0A" w14:textId="77777777" w:rsidR="008207C5" w:rsidRDefault="008207C5" w:rsidP="008207C5">
            <w:pPr>
              <w:jc w:val="both"/>
            </w:pPr>
            <w:r>
              <w:t xml:space="preserve">P-IRA-25-4;   P-IRA-25-7;    P-IRA-25-9;   P-IRA-25-10;   P-IRA-25-11;  </w:t>
            </w:r>
          </w:p>
          <w:p w14:paraId="2126A9B8" w14:textId="668E72A8" w:rsidR="00F72A46" w:rsidRPr="0090599F" w:rsidRDefault="008207C5" w:rsidP="008207C5">
            <w:pPr>
              <w:jc w:val="both"/>
            </w:pPr>
            <w:r>
              <w:t>P-IRA-25-12; P-IRA-25-15; P-IRA-25-16; P-IRA-25-17; P-IRA-25-21; P-IRA-25-22; P-IRA-25-30; P-IRA-25-34; P-IRA-25-35; P-IRA-25-36; P-IRA-25-40; P-IRA-25-41; P-IRA-25-45; P-IRA-25-46; P-IRA-25-47; P-IRA-25-48; P-IRA-25-51; P-IRA-25-55.</w:t>
            </w:r>
          </w:p>
        </w:tc>
      </w:tr>
      <w:tr w:rsidR="002001B1" w:rsidRPr="0090599F" w14:paraId="51911B2E" w14:textId="77777777" w:rsidTr="009B052F">
        <w:trPr>
          <w:trHeight w:val="409"/>
        </w:trPr>
        <w:tc>
          <w:tcPr>
            <w:tcW w:w="2405" w:type="dxa"/>
          </w:tcPr>
          <w:p w14:paraId="1E82E057" w14:textId="0F0286D1" w:rsidR="002001B1" w:rsidRPr="0090599F" w:rsidRDefault="0072555B" w:rsidP="00701E85">
            <w:pPr>
              <w:spacing w:line="276" w:lineRule="auto"/>
              <w:rPr>
                <w:lang w:eastAsia="en-US"/>
              </w:rPr>
            </w:pPr>
            <w:r>
              <w:t>NT</w:t>
            </w:r>
            <w:r w:rsidR="00797E56">
              <w:t>MA</w:t>
            </w:r>
            <w:r w:rsidR="002001B1" w:rsidRPr="0090599F">
              <w:t xml:space="preserve"> paraiškų grupė</w:t>
            </w:r>
          </w:p>
          <w:p w14:paraId="1DE5282C" w14:textId="77777777" w:rsidR="002001B1" w:rsidRPr="0090599F" w:rsidRDefault="002001B1" w:rsidP="00701E85">
            <w:pPr>
              <w:pStyle w:val="ListParagraph"/>
              <w:tabs>
                <w:tab w:val="left" w:pos="851"/>
              </w:tabs>
              <w:spacing w:line="276" w:lineRule="auto"/>
              <w:ind w:left="0" w:right="-29"/>
              <w:jc w:val="both"/>
              <w:rPr>
                <w:lang w:val="lt-LT"/>
              </w:rPr>
            </w:pPr>
          </w:p>
        </w:tc>
        <w:tc>
          <w:tcPr>
            <w:tcW w:w="7229" w:type="dxa"/>
          </w:tcPr>
          <w:p w14:paraId="742793CE" w14:textId="384183F6" w:rsidR="00524392" w:rsidRDefault="00524392" w:rsidP="00524392">
            <w:pPr>
              <w:jc w:val="both"/>
            </w:pPr>
            <w:r>
              <w:t xml:space="preserve">P-IRA-25-1; </w:t>
            </w:r>
            <w:r w:rsidR="002E5675">
              <w:t xml:space="preserve"> </w:t>
            </w:r>
            <w:r>
              <w:t xml:space="preserve">P-IRA-25-2;  </w:t>
            </w:r>
            <w:r w:rsidR="00CC4633">
              <w:t xml:space="preserve">  </w:t>
            </w:r>
            <w:r>
              <w:t xml:space="preserve">P-IRA-25-3;  </w:t>
            </w:r>
            <w:r w:rsidR="00CC4633">
              <w:t xml:space="preserve"> </w:t>
            </w:r>
            <w:r w:rsidR="002E5675">
              <w:t xml:space="preserve"> </w:t>
            </w:r>
            <w:r>
              <w:t xml:space="preserve">P-IRA-25-5;  </w:t>
            </w:r>
            <w:r w:rsidR="00CC4633">
              <w:t xml:space="preserve">  </w:t>
            </w:r>
            <w:r>
              <w:t xml:space="preserve">P-IRA-25-6; </w:t>
            </w:r>
          </w:p>
          <w:p w14:paraId="2DAB385F" w14:textId="1C0DB8F4" w:rsidR="002E5675" w:rsidRDefault="00524392" w:rsidP="00524392">
            <w:pPr>
              <w:jc w:val="both"/>
            </w:pPr>
            <w:r>
              <w:t xml:space="preserve">P-IRA-25-8; </w:t>
            </w:r>
            <w:r w:rsidR="00CC4633">
              <w:t xml:space="preserve"> </w:t>
            </w:r>
            <w:r>
              <w:t xml:space="preserve">P-IRA-25-13; </w:t>
            </w:r>
            <w:r w:rsidR="00CC4633">
              <w:t xml:space="preserve"> </w:t>
            </w:r>
            <w:r>
              <w:t xml:space="preserve">P-IRA-25-14; </w:t>
            </w:r>
            <w:r w:rsidR="00CC4633">
              <w:t xml:space="preserve"> </w:t>
            </w:r>
            <w:r>
              <w:t>P-IRA-25-18;</w:t>
            </w:r>
            <w:r w:rsidR="00CC4633">
              <w:t xml:space="preserve">  </w:t>
            </w:r>
            <w:r>
              <w:t xml:space="preserve">P-IRA-25-19; </w:t>
            </w:r>
          </w:p>
          <w:p w14:paraId="7B42ED28" w14:textId="1D930ECB" w:rsidR="002001B1" w:rsidRPr="00B05D3E" w:rsidRDefault="00524392" w:rsidP="00524392">
            <w:pPr>
              <w:jc w:val="both"/>
            </w:pPr>
            <w:r>
              <w:t>P-IRA-25-20; P-IRA-25-23; P-IRA-25-24; P-IRA-25-25; P-IRA-25-26; P-IRA-25-27; P-IRA-25-28; P-IRA-25-29; P-IRA-25-31; P-IRA-25-32; P-IRA-25-33; P-IRA-25-37; P-IRA-25-38; P-IRA-25-39; P-IRA-25-42; P-IRA-25-43; P-IRA-25-44; P-IRA-25-49; P-IRA-25-50; P-IRA-25-52; P-IRA-25-53; P-IRA-25-54; P-IRA-25-57.</w:t>
            </w:r>
          </w:p>
        </w:tc>
      </w:tr>
    </w:tbl>
    <w:p w14:paraId="33A5A4E2" w14:textId="77777777" w:rsidR="00DB7F27" w:rsidRPr="001004EF" w:rsidRDefault="00DB7F27" w:rsidP="00DB7F27">
      <w:pPr>
        <w:pStyle w:val="CommentText"/>
        <w:tabs>
          <w:tab w:val="left" w:pos="993"/>
        </w:tabs>
        <w:jc w:val="both"/>
        <w:rPr>
          <w:spacing w:val="100"/>
          <w:sz w:val="10"/>
          <w:szCs w:val="10"/>
        </w:rPr>
      </w:pPr>
    </w:p>
    <w:p w14:paraId="37494753" w14:textId="30B33B2A" w:rsidR="00366B9E" w:rsidRPr="00BC5E13" w:rsidRDefault="000D6DDF" w:rsidP="00366B9E">
      <w:pPr>
        <w:pStyle w:val="ListParagraph"/>
        <w:numPr>
          <w:ilvl w:val="0"/>
          <w:numId w:val="3"/>
        </w:numPr>
        <w:ind w:left="0" w:firstLine="426"/>
        <w:jc w:val="both"/>
      </w:pPr>
      <w:r w:rsidRPr="006D7B2B">
        <w:t>P a ž y m i u,  </w:t>
      </w:r>
      <w:r>
        <w:t>kad š</w:t>
      </w:r>
      <w:r w:rsidR="00956901" w:rsidRPr="00D731CF">
        <w:t xml:space="preserve">is </w:t>
      </w:r>
      <w:r w:rsidR="00366B9E">
        <w:t>s</w:t>
      </w:r>
      <w:r w:rsidR="00366B9E" w:rsidRPr="00BC5E13">
        <w:t xml:space="preserve">prendimas per vieną mėnesį nuo jo gavimo dienos gali būti skundžiamas Lietuvos administracinių ginčų komisijai, vadovaujantis Lietuvos Respublikos ikiteisminio administracinių ginčų nagrinėjimo tvarkos įstatymu, ar Lietuvos Respublikos administracinių bylų teisenos įstatymo nustatyta tvarka Regionų administraciniam teismui bet kuriuose teismo rūmuose taip pat per Lietuvos teismų elektroninių paslaugų portalą ( </w:t>
      </w:r>
      <w:hyperlink r:id="rId10" w:history="1">
        <w:r w:rsidR="00366B9E" w:rsidRPr="00BC5E13">
          <w:rPr>
            <w:rStyle w:val="Hyperlink"/>
            <w:lang w:val="lt-LT"/>
          </w:rPr>
          <w:t>https://e.teismas.lt</w:t>
        </w:r>
      </w:hyperlink>
      <w:r w:rsidR="00366B9E" w:rsidRPr="00BC5E13">
        <w:t>).</w:t>
      </w:r>
    </w:p>
    <w:p w14:paraId="7F97325C" w14:textId="11420256" w:rsidR="00956901" w:rsidRPr="00D731CF" w:rsidRDefault="00956901" w:rsidP="00366B9E">
      <w:pPr>
        <w:pStyle w:val="ListParagraph"/>
        <w:ind w:left="426"/>
        <w:jc w:val="both"/>
        <w:rPr>
          <w:lang w:val="lt-LT"/>
        </w:rPr>
      </w:pPr>
    </w:p>
    <w:p w14:paraId="6673E071" w14:textId="77777777" w:rsidR="00956901" w:rsidRDefault="00956901" w:rsidP="00956901">
      <w:pPr>
        <w:overflowPunct w:val="0"/>
        <w:autoSpaceDE w:val="0"/>
        <w:autoSpaceDN w:val="0"/>
        <w:adjustRightInd w:val="0"/>
      </w:pPr>
    </w:p>
    <w:p w14:paraId="0AD4097F" w14:textId="067633FC" w:rsidR="00BB5572" w:rsidRDefault="00BB5572" w:rsidP="00956901">
      <w:pPr>
        <w:pStyle w:val="CommentText"/>
        <w:tabs>
          <w:tab w:val="left" w:pos="993"/>
        </w:tabs>
        <w:jc w:val="both"/>
      </w:pPr>
    </w:p>
    <w:p w14:paraId="523EE18F" w14:textId="54D9F8F8" w:rsidR="00BB5572" w:rsidRPr="00BB5572" w:rsidRDefault="00E155E8" w:rsidP="00E155E8">
      <w:pPr>
        <w:tabs>
          <w:tab w:val="left" w:pos="7797"/>
        </w:tabs>
        <w:spacing w:line="276" w:lineRule="auto"/>
      </w:pPr>
      <w:r>
        <w:t>Pirminink</w:t>
      </w:r>
      <w:r w:rsidR="00835DE0">
        <w:t>as                                                                                                             Gintaras Valinčius</w:t>
      </w:r>
    </w:p>
    <w:p w14:paraId="280FA4FF" w14:textId="77777777" w:rsidR="00592C6F" w:rsidRPr="00B05D3E" w:rsidRDefault="00592C6F" w:rsidP="0042278A">
      <w:pPr>
        <w:pStyle w:val="Footer"/>
        <w:rPr>
          <w:color w:val="000000" w:themeColor="text1"/>
        </w:rPr>
      </w:pPr>
    </w:p>
    <w:p w14:paraId="7FAD8411" w14:textId="77777777" w:rsidR="00DC2E95" w:rsidRPr="00B05D3E" w:rsidRDefault="00DC2E95" w:rsidP="0042278A">
      <w:pPr>
        <w:pStyle w:val="Footer"/>
        <w:rPr>
          <w:color w:val="000000" w:themeColor="text1"/>
        </w:rPr>
      </w:pPr>
    </w:p>
    <w:p w14:paraId="0E39140E" w14:textId="578F544D" w:rsidR="00730A33" w:rsidRPr="0090599F" w:rsidRDefault="00730A33" w:rsidP="00925AF6">
      <w:pPr>
        <w:pStyle w:val="Footer"/>
      </w:pPr>
    </w:p>
    <w:sectPr w:rsidR="00730A33" w:rsidRPr="0090599F" w:rsidSect="00F75853">
      <w:footerReference w:type="default" r:id="rId11"/>
      <w:pgSz w:w="11906" w:h="16838" w:code="9"/>
      <w:pgMar w:top="1134" w:right="567" w:bottom="1134" w:left="1701" w:header="113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19C0" w14:textId="77777777" w:rsidR="00E61824" w:rsidRDefault="00E61824">
      <w:r>
        <w:separator/>
      </w:r>
    </w:p>
  </w:endnote>
  <w:endnote w:type="continuationSeparator" w:id="0">
    <w:p w14:paraId="24BBCF49" w14:textId="77777777" w:rsidR="00E61824" w:rsidRDefault="00E61824">
      <w:r>
        <w:continuationSeparator/>
      </w:r>
    </w:p>
  </w:endnote>
  <w:endnote w:type="continuationNotice" w:id="1">
    <w:p w14:paraId="6ADB45E7" w14:textId="77777777" w:rsidR="00E61824" w:rsidRDefault="00E61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55F6" w14:textId="77777777" w:rsidR="00AA4964" w:rsidRDefault="00AA4964">
    <w:pPr>
      <w:pStyle w:val="Footer"/>
    </w:pPr>
  </w:p>
  <w:p w14:paraId="7D7F7A62" w14:textId="77777777" w:rsidR="00AA4964" w:rsidRDefault="00AA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48C4" w14:textId="77777777" w:rsidR="00E61824" w:rsidRDefault="00E61824">
      <w:r>
        <w:separator/>
      </w:r>
    </w:p>
  </w:footnote>
  <w:footnote w:type="continuationSeparator" w:id="0">
    <w:p w14:paraId="06047CBF" w14:textId="77777777" w:rsidR="00E61824" w:rsidRDefault="00E61824">
      <w:r>
        <w:continuationSeparator/>
      </w:r>
    </w:p>
  </w:footnote>
  <w:footnote w:type="continuationNotice" w:id="1">
    <w:p w14:paraId="2917AE54" w14:textId="77777777" w:rsidR="00E61824" w:rsidRDefault="00E61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E46B7"/>
    <w:multiLevelType w:val="hybridMultilevel"/>
    <w:tmpl w:val="64AEC016"/>
    <w:lvl w:ilvl="0" w:tplc="F63291D0">
      <w:start w:val="1"/>
      <w:numFmt w:val="decimal"/>
      <w:lvlText w:val="%1."/>
      <w:lvlJc w:val="left"/>
      <w:pPr>
        <w:ind w:left="899" w:hanging="360"/>
      </w:pPr>
      <w:rPr>
        <w:rFonts w:hint="default"/>
        <w:color w:val="000000"/>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 w15:restartNumberingAfterBreak="0">
    <w:nsid w:val="57FC1B38"/>
    <w:multiLevelType w:val="hybridMultilevel"/>
    <w:tmpl w:val="A01826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65BC2C86"/>
    <w:multiLevelType w:val="hybridMultilevel"/>
    <w:tmpl w:val="C08AF2A8"/>
    <w:lvl w:ilvl="0" w:tplc="ED3CD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29139685">
    <w:abstractNumId w:val="2"/>
  </w:num>
  <w:num w:numId="2" w16cid:durableId="823278491">
    <w:abstractNumId w:val="0"/>
  </w:num>
  <w:num w:numId="3" w16cid:durableId="212831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8A"/>
    <w:rsid w:val="00005806"/>
    <w:rsid w:val="00021030"/>
    <w:rsid w:val="00027657"/>
    <w:rsid w:val="00046158"/>
    <w:rsid w:val="00050324"/>
    <w:rsid w:val="0007142D"/>
    <w:rsid w:val="000779C5"/>
    <w:rsid w:val="000873CB"/>
    <w:rsid w:val="0009297A"/>
    <w:rsid w:val="000A3A66"/>
    <w:rsid w:val="000A4337"/>
    <w:rsid w:val="000D35C4"/>
    <w:rsid w:val="000D4F35"/>
    <w:rsid w:val="000D6DDF"/>
    <w:rsid w:val="001004EF"/>
    <w:rsid w:val="00153534"/>
    <w:rsid w:val="00160DA4"/>
    <w:rsid w:val="001803C2"/>
    <w:rsid w:val="00181D86"/>
    <w:rsid w:val="001931DC"/>
    <w:rsid w:val="001A0266"/>
    <w:rsid w:val="001A0EE3"/>
    <w:rsid w:val="001B1CB2"/>
    <w:rsid w:val="002001B1"/>
    <w:rsid w:val="00206EA0"/>
    <w:rsid w:val="00213CFD"/>
    <w:rsid w:val="00224F3F"/>
    <w:rsid w:val="00233E34"/>
    <w:rsid w:val="0026226A"/>
    <w:rsid w:val="00295552"/>
    <w:rsid w:val="002A1E81"/>
    <w:rsid w:val="002D1A5B"/>
    <w:rsid w:val="002D5EC9"/>
    <w:rsid w:val="002E5675"/>
    <w:rsid w:val="002F405C"/>
    <w:rsid w:val="00306CD2"/>
    <w:rsid w:val="00324884"/>
    <w:rsid w:val="00324D71"/>
    <w:rsid w:val="00325D66"/>
    <w:rsid w:val="00331E80"/>
    <w:rsid w:val="00343019"/>
    <w:rsid w:val="003662BB"/>
    <w:rsid w:val="00366B9E"/>
    <w:rsid w:val="003821A1"/>
    <w:rsid w:val="003917B1"/>
    <w:rsid w:val="003931A9"/>
    <w:rsid w:val="003A077E"/>
    <w:rsid w:val="003B229C"/>
    <w:rsid w:val="003B7C9D"/>
    <w:rsid w:val="003C1678"/>
    <w:rsid w:val="00416669"/>
    <w:rsid w:val="0042278A"/>
    <w:rsid w:val="004267B9"/>
    <w:rsid w:val="00457AFD"/>
    <w:rsid w:val="004801E6"/>
    <w:rsid w:val="00482C30"/>
    <w:rsid w:val="0048550C"/>
    <w:rsid w:val="004B3516"/>
    <w:rsid w:val="004D5187"/>
    <w:rsid w:val="004D5DCA"/>
    <w:rsid w:val="004E00BA"/>
    <w:rsid w:val="005016AB"/>
    <w:rsid w:val="00503902"/>
    <w:rsid w:val="00515875"/>
    <w:rsid w:val="0051789D"/>
    <w:rsid w:val="00524392"/>
    <w:rsid w:val="00534A94"/>
    <w:rsid w:val="005351C8"/>
    <w:rsid w:val="00546D0A"/>
    <w:rsid w:val="00551B65"/>
    <w:rsid w:val="005550F2"/>
    <w:rsid w:val="00561BD2"/>
    <w:rsid w:val="00566125"/>
    <w:rsid w:val="005703C2"/>
    <w:rsid w:val="005855FA"/>
    <w:rsid w:val="00592C6F"/>
    <w:rsid w:val="00594F89"/>
    <w:rsid w:val="00594FD4"/>
    <w:rsid w:val="005A00CE"/>
    <w:rsid w:val="005C1F19"/>
    <w:rsid w:val="0060196F"/>
    <w:rsid w:val="00635527"/>
    <w:rsid w:val="0064367E"/>
    <w:rsid w:val="006521B1"/>
    <w:rsid w:val="006531DC"/>
    <w:rsid w:val="006750F0"/>
    <w:rsid w:val="006A39DC"/>
    <w:rsid w:val="006B3F50"/>
    <w:rsid w:val="006C1CC6"/>
    <w:rsid w:val="00701E85"/>
    <w:rsid w:val="0070630F"/>
    <w:rsid w:val="00721CEA"/>
    <w:rsid w:val="00722FB0"/>
    <w:rsid w:val="0072555B"/>
    <w:rsid w:val="00730A33"/>
    <w:rsid w:val="00744AAF"/>
    <w:rsid w:val="0075683A"/>
    <w:rsid w:val="00757B1F"/>
    <w:rsid w:val="00761F4F"/>
    <w:rsid w:val="007658B4"/>
    <w:rsid w:val="00793A1C"/>
    <w:rsid w:val="00797E56"/>
    <w:rsid w:val="007B2EA3"/>
    <w:rsid w:val="007B6715"/>
    <w:rsid w:val="007F37AB"/>
    <w:rsid w:val="0080091A"/>
    <w:rsid w:val="008078B5"/>
    <w:rsid w:val="0081788C"/>
    <w:rsid w:val="00817BB7"/>
    <w:rsid w:val="008207C5"/>
    <w:rsid w:val="00835DE0"/>
    <w:rsid w:val="008442C6"/>
    <w:rsid w:val="0084481D"/>
    <w:rsid w:val="0086349F"/>
    <w:rsid w:val="00864F59"/>
    <w:rsid w:val="008960CA"/>
    <w:rsid w:val="008C46FA"/>
    <w:rsid w:val="008C6759"/>
    <w:rsid w:val="008C7A01"/>
    <w:rsid w:val="008E1E6D"/>
    <w:rsid w:val="008E2DB5"/>
    <w:rsid w:val="008E40AA"/>
    <w:rsid w:val="0090599F"/>
    <w:rsid w:val="00925AF6"/>
    <w:rsid w:val="00935A7D"/>
    <w:rsid w:val="00946CA0"/>
    <w:rsid w:val="0095051A"/>
    <w:rsid w:val="0095118A"/>
    <w:rsid w:val="009568A0"/>
    <w:rsid w:val="00956901"/>
    <w:rsid w:val="0097540A"/>
    <w:rsid w:val="0098439E"/>
    <w:rsid w:val="009B052F"/>
    <w:rsid w:val="009D3091"/>
    <w:rsid w:val="009E21B8"/>
    <w:rsid w:val="00A26D3C"/>
    <w:rsid w:val="00A675D0"/>
    <w:rsid w:val="00A85EC6"/>
    <w:rsid w:val="00AA4964"/>
    <w:rsid w:val="00AC4940"/>
    <w:rsid w:val="00AC6D88"/>
    <w:rsid w:val="00B05D3E"/>
    <w:rsid w:val="00B176D4"/>
    <w:rsid w:val="00B33DF1"/>
    <w:rsid w:val="00B42382"/>
    <w:rsid w:val="00B52C2E"/>
    <w:rsid w:val="00B71BBC"/>
    <w:rsid w:val="00BB3E3E"/>
    <w:rsid w:val="00BB5572"/>
    <w:rsid w:val="00BF7692"/>
    <w:rsid w:val="00C04527"/>
    <w:rsid w:val="00C41719"/>
    <w:rsid w:val="00C87577"/>
    <w:rsid w:val="00CB0AD0"/>
    <w:rsid w:val="00CB16EC"/>
    <w:rsid w:val="00CB4358"/>
    <w:rsid w:val="00CC1456"/>
    <w:rsid w:val="00CC4633"/>
    <w:rsid w:val="00CD037C"/>
    <w:rsid w:val="00CE5660"/>
    <w:rsid w:val="00CF0FED"/>
    <w:rsid w:val="00D02444"/>
    <w:rsid w:val="00D070D9"/>
    <w:rsid w:val="00D45F91"/>
    <w:rsid w:val="00D46D28"/>
    <w:rsid w:val="00D52CC3"/>
    <w:rsid w:val="00D5700D"/>
    <w:rsid w:val="00D60396"/>
    <w:rsid w:val="00D731CF"/>
    <w:rsid w:val="00D76BAE"/>
    <w:rsid w:val="00D804AE"/>
    <w:rsid w:val="00D81BB1"/>
    <w:rsid w:val="00D83D41"/>
    <w:rsid w:val="00D84C9E"/>
    <w:rsid w:val="00DB7F27"/>
    <w:rsid w:val="00DC13C6"/>
    <w:rsid w:val="00DC2E95"/>
    <w:rsid w:val="00DC543A"/>
    <w:rsid w:val="00DC713A"/>
    <w:rsid w:val="00DD396E"/>
    <w:rsid w:val="00E155E8"/>
    <w:rsid w:val="00E17454"/>
    <w:rsid w:val="00E30D88"/>
    <w:rsid w:val="00E31A60"/>
    <w:rsid w:val="00E328CA"/>
    <w:rsid w:val="00E36A3F"/>
    <w:rsid w:val="00E4149C"/>
    <w:rsid w:val="00E61824"/>
    <w:rsid w:val="00E759A9"/>
    <w:rsid w:val="00E9764C"/>
    <w:rsid w:val="00EB3E78"/>
    <w:rsid w:val="00ED72C7"/>
    <w:rsid w:val="00EE0127"/>
    <w:rsid w:val="00F04DC9"/>
    <w:rsid w:val="00F0508B"/>
    <w:rsid w:val="00F208E0"/>
    <w:rsid w:val="00F352B4"/>
    <w:rsid w:val="00F4527E"/>
    <w:rsid w:val="00F53911"/>
    <w:rsid w:val="00F72A46"/>
    <w:rsid w:val="00F75853"/>
    <w:rsid w:val="00F76DC8"/>
    <w:rsid w:val="00F82411"/>
    <w:rsid w:val="00F83278"/>
    <w:rsid w:val="00F91FB4"/>
    <w:rsid w:val="00F942CA"/>
    <w:rsid w:val="00FA63AA"/>
    <w:rsid w:val="00FB0A2D"/>
    <w:rsid w:val="00FC18CE"/>
    <w:rsid w:val="00FC1E53"/>
    <w:rsid w:val="00FC2CCA"/>
    <w:rsid w:val="00FE0DBD"/>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101C"/>
  <w15:chartTrackingRefBased/>
  <w15:docId w15:val="{B419E3EC-64B7-4837-9F78-09F30087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8A"/>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42278A"/>
    <w:pPr>
      <w:keepNext/>
      <w:tabs>
        <w:tab w:val="left" w:pos="4080"/>
      </w:tabs>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78A"/>
    <w:rPr>
      <w:rFonts w:ascii="Times New Roman" w:eastAsia="Times New Roman" w:hAnsi="Times New Roman" w:cs="Times New Roman"/>
      <w:b/>
      <w:bCs/>
      <w:sz w:val="32"/>
      <w:szCs w:val="24"/>
      <w:lang w:val="lt-LT" w:eastAsia="lt-LT"/>
    </w:rPr>
  </w:style>
  <w:style w:type="paragraph" w:styleId="Footer">
    <w:name w:val="footer"/>
    <w:basedOn w:val="Normal"/>
    <w:link w:val="FooterChar"/>
    <w:uiPriority w:val="99"/>
    <w:rsid w:val="0042278A"/>
    <w:pPr>
      <w:tabs>
        <w:tab w:val="center" w:pos="4153"/>
        <w:tab w:val="right" w:pos="8306"/>
      </w:tabs>
    </w:pPr>
  </w:style>
  <w:style w:type="character" w:customStyle="1" w:styleId="FooterChar">
    <w:name w:val="Footer Char"/>
    <w:basedOn w:val="DefaultParagraphFont"/>
    <w:link w:val="Footer"/>
    <w:uiPriority w:val="99"/>
    <w:rsid w:val="0042278A"/>
    <w:rPr>
      <w:rFonts w:ascii="Times New Roman" w:eastAsia="Times New Roman" w:hAnsi="Times New Roman" w:cs="Times New Roman"/>
      <w:sz w:val="24"/>
      <w:szCs w:val="24"/>
      <w:lang w:val="lt-LT" w:eastAsia="lt-LT"/>
    </w:rPr>
  </w:style>
  <w:style w:type="table" w:styleId="TableGrid">
    <w:name w:val="Table Grid"/>
    <w:basedOn w:val="TableNormal"/>
    <w:rsid w:val="0042278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78A"/>
    <w:pPr>
      <w:ind w:left="720"/>
      <w:contextualSpacing/>
    </w:pPr>
    <w:rPr>
      <w:lang w:val="en-GB" w:eastAsia="en-US"/>
    </w:rPr>
  </w:style>
  <w:style w:type="paragraph" w:styleId="CommentText">
    <w:name w:val="annotation text"/>
    <w:basedOn w:val="Normal"/>
    <w:link w:val="CommentTextChar"/>
    <w:rsid w:val="0042278A"/>
    <w:rPr>
      <w:sz w:val="20"/>
      <w:szCs w:val="20"/>
    </w:rPr>
  </w:style>
  <w:style w:type="character" w:customStyle="1" w:styleId="CommentTextChar">
    <w:name w:val="Comment Text Char"/>
    <w:basedOn w:val="DefaultParagraphFont"/>
    <w:link w:val="CommentText"/>
    <w:rsid w:val="0042278A"/>
    <w:rPr>
      <w:rFonts w:ascii="Times New Roman" w:eastAsia="Times New Roman" w:hAnsi="Times New Roman" w:cs="Times New Roman"/>
      <w:sz w:val="20"/>
      <w:szCs w:val="20"/>
      <w:lang w:val="lt-LT" w:eastAsia="lt-LT"/>
    </w:rPr>
  </w:style>
  <w:style w:type="paragraph" w:styleId="BalloonText">
    <w:name w:val="Balloon Text"/>
    <w:basedOn w:val="Normal"/>
    <w:link w:val="BalloonTextChar"/>
    <w:uiPriority w:val="99"/>
    <w:semiHidden/>
    <w:unhideWhenUsed/>
    <w:rsid w:val="002A1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E81"/>
    <w:rPr>
      <w:rFonts w:ascii="Segoe UI" w:eastAsia="Times New Roman" w:hAnsi="Segoe UI" w:cs="Segoe UI"/>
      <w:sz w:val="18"/>
      <w:szCs w:val="18"/>
      <w:lang w:val="lt-LT" w:eastAsia="lt-LT"/>
    </w:rPr>
  </w:style>
  <w:style w:type="paragraph" w:styleId="Header">
    <w:name w:val="header"/>
    <w:basedOn w:val="Normal"/>
    <w:link w:val="HeaderChar"/>
    <w:uiPriority w:val="99"/>
    <w:semiHidden/>
    <w:unhideWhenUsed/>
    <w:rsid w:val="001A0266"/>
    <w:pPr>
      <w:tabs>
        <w:tab w:val="center" w:pos="4819"/>
        <w:tab w:val="right" w:pos="9638"/>
      </w:tabs>
    </w:pPr>
  </w:style>
  <w:style w:type="character" w:customStyle="1" w:styleId="HeaderChar">
    <w:name w:val="Header Char"/>
    <w:basedOn w:val="DefaultParagraphFont"/>
    <w:link w:val="Header"/>
    <w:uiPriority w:val="99"/>
    <w:semiHidden/>
    <w:rsid w:val="001A0266"/>
    <w:rPr>
      <w:rFonts w:ascii="Times New Roman" w:eastAsia="Times New Roman" w:hAnsi="Times New Roman" w:cs="Times New Roman"/>
      <w:sz w:val="24"/>
      <w:szCs w:val="24"/>
      <w:lang w:val="lt-LT" w:eastAsia="lt-LT"/>
    </w:rPr>
  </w:style>
  <w:style w:type="character" w:styleId="Hyperlink">
    <w:name w:val="Hyperlink"/>
    <w:rsid w:val="00366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242">
      <w:bodyDiv w:val="1"/>
      <w:marLeft w:val="0"/>
      <w:marRight w:val="0"/>
      <w:marTop w:val="0"/>
      <w:marBottom w:val="0"/>
      <w:divBdr>
        <w:top w:val="none" w:sz="0" w:space="0" w:color="auto"/>
        <w:left w:val="none" w:sz="0" w:space="0" w:color="auto"/>
        <w:bottom w:val="none" w:sz="0" w:space="0" w:color="auto"/>
        <w:right w:val="none" w:sz="0" w:space="0" w:color="auto"/>
      </w:divBdr>
    </w:div>
    <w:div w:id="131097304">
      <w:bodyDiv w:val="1"/>
      <w:marLeft w:val="0"/>
      <w:marRight w:val="0"/>
      <w:marTop w:val="0"/>
      <w:marBottom w:val="0"/>
      <w:divBdr>
        <w:top w:val="none" w:sz="0" w:space="0" w:color="auto"/>
        <w:left w:val="none" w:sz="0" w:space="0" w:color="auto"/>
        <w:bottom w:val="none" w:sz="0" w:space="0" w:color="auto"/>
        <w:right w:val="none" w:sz="0" w:space="0" w:color="auto"/>
      </w:divBdr>
    </w:div>
    <w:div w:id="154732953">
      <w:bodyDiv w:val="1"/>
      <w:marLeft w:val="0"/>
      <w:marRight w:val="0"/>
      <w:marTop w:val="0"/>
      <w:marBottom w:val="0"/>
      <w:divBdr>
        <w:top w:val="none" w:sz="0" w:space="0" w:color="auto"/>
        <w:left w:val="none" w:sz="0" w:space="0" w:color="auto"/>
        <w:bottom w:val="none" w:sz="0" w:space="0" w:color="auto"/>
        <w:right w:val="none" w:sz="0" w:space="0" w:color="auto"/>
      </w:divBdr>
    </w:div>
    <w:div w:id="197084424">
      <w:bodyDiv w:val="1"/>
      <w:marLeft w:val="0"/>
      <w:marRight w:val="0"/>
      <w:marTop w:val="0"/>
      <w:marBottom w:val="0"/>
      <w:divBdr>
        <w:top w:val="none" w:sz="0" w:space="0" w:color="auto"/>
        <w:left w:val="none" w:sz="0" w:space="0" w:color="auto"/>
        <w:bottom w:val="none" w:sz="0" w:space="0" w:color="auto"/>
        <w:right w:val="none" w:sz="0" w:space="0" w:color="auto"/>
      </w:divBdr>
    </w:div>
    <w:div w:id="261912066">
      <w:bodyDiv w:val="1"/>
      <w:marLeft w:val="0"/>
      <w:marRight w:val="0"/>
      <w:marTop w:val="0"/>
      <w:marBottom w:val="0"/>
      <w:divBdr>
        <w:top w:val="none" w:sz="0" w:space="0" w:color="auto"/>
        <w:left w:val="none" w:sz="0" w:space="0" w:color="auto"/>
        <w:bottom w:val="none" w:sz="0" w:space="0" w:color="auto"/>
        <w:right w:val="none" w:sz="0" w:space="0" w:color="auto"/>
      </w:divBdr>
    </w:div>
    <w:div w:id="583221122">
      <w:bodyDiv w:val="1"/>
      <w:marLeft w:val="0"/>
      <w:marRight w:val="0"/>
      <w:marTop w:val="0"/>
      <w:marBottom w:val="0"/>
      <w:divBdr>
        <w:top w:val="none" w:sz="0" w:space="0" w:color="auto"/>
        <w:left w:val="none" w:sz="0" w:space="0" w:color="auto"/>
        <w:bottom w:val="none" w:sz="0" w:space="0" w:color="auto"/>
        <w:right w:val="none" w:sz="0" w:space="0" w:color="auto"/>
      </w:divBdr>
    </w:div>
    <w:div w:id="634919959">
      <w:bodyDiv w:val="1"/>
      <w:marLeft w:val="0"/>
      <w:marRight w:val="0"/>
      <w:marTop w:val="0"/>
      <w:marBottom w:val="0"/>
      <w:divBdr>
        <w:top w:val="none" w:sz="0" w:space="0" w:color="auto"/>
        <w:left w:val="none" w:sz="0" w:space="0" w:color="auto"/>
        <w:bottom w:val="none" w:sz="0" w:space="0" w:color="auto"/>
        <w:right w:val="none" w:sz="0" w:space="0" w:color="auto"/>
      </w:divBdr>
    </w:div>
    <w:div w:id="859854923">
      <w:bodyDiv w:val="1"/>
      <w:marLeft w:val="0"/>
      <w:marRight w:val="0"/>
      <w:marTop w:val="0"/>
      <w:marBottom w:val="0"/>
      <w:divBdr>
        <w:top w:val="none" w:sz="0" w:space="0" w:color="auto"/>
        <w:left w:val="none" w:sz="0" w:space="0" w:color="auto"/>
        <w:bottom w:val="none" w:sz="0" w:space="0" w:color="auto"/>
        <w:right w:val="none" w:sz="0" w:space="0" w:color="auto"/>
      </w:divBdr>
    </w:div>
    <w:div w:id="982924013">
      <w:bodyDiv w:val="1"/>
      <w:marLeft w:val="0"/>
      <w:marRight w:val="0"/>
      <w:marTop w:val="0"/>
      <w:marBottom w:val="0"/>
      <w:divBdr>
        <w:top w:val="none" w:sz="0" w:space="0" w:color="auto"/>
        <w:left w:val="none" w:sz="0" w:space="0" w:color="auto"/>
        <w:bottom w:val="none" w:sz="0" w:space="0" w:color="auto"/>
        <w:right w:val="none" w:sz="0" w:space="0" w:color="auto"/>
      </w:divBdr>
    </w:div>
    <w:div w:id="1011493519">
      <w:bodyDiv w:val="1"/>
      <w:marLeft w:val="0"/>
      <w:marRight w:val="0"/>
      <w:marTop w:val="0"/>
      <w:marBottom w:val="0"/>
      <w:divBdr>
        <w:top w:val="none" w:sz="0" w:space="0" w:color="auto"/>
        <w:left w:val="none" w:sz="0" w:space="0" w:color="auto"/>
        <w:bottom w:val="none" w:sz="0" w:space="0" w:color="auto"/>
        <w:right w:val="none" w:sz="0" w:space="0" w:color="auto"/>
      </w:divBdr>
    </w:div>
    <w:div w:id="1060441772">
      <w:bodyDiv w:val="1"/>
      <w:marLeft w:val="0"/>
      <w:marRight w:val="0"/>
      <w:marTop w:val="0"/>
      <w:marBottom w:val="0"/>
      <w:divBdr>
        <w:top w:val="none" w:sz="0" w:space="0" w:color="auto"/>
        <w:left w:val="none" w:sz="0" w:space="0" w:color="auto"/>
        <w:bottom w:val="none" w:sz="0" w:space="0" w:color="auto"/>
        <w:right w:val="none" w:sz="0" w:space="0" w:color="auto"/>
      </w:divBdr>
    </w:div>
    <w:div w:id="1080369640">
      <w:bodyDiv w:val="1"/>
      <w:marLeft w:val="0"/>
      <w:marRight w:val="0"/>
      <w:marTop w:val="0"/>
      <w:marBottom w:val="0"/>
      <w:divBdr>
        <w:top w:val="none" w:sz="0" w:space="0" w:color="auto"/>
        <w:left w:val="none" w:sz="0" w:space="0" w:color="auto"/>
        <w:bottom w:val="none" w:sz="0" w:space="0" w:color="auto"/>
        <w:right w:val="none" w:sz="0" w:space="0" w:color="auto"/>
      </w:divBdr>
    </w:div>
    <w:div w:id="1209338894">
      <w:bodyDiv w:val="1"/>
      <w:marLeft w:val="0"/>
      <w:marRight w:val="0"/>
      <w:marTop w:val="0"/>
      <w:marBottom w:val="0"/>
      <w:divBdr>
        <w:top w:val="none" w:sz="0" w:space="0" w:color="auto"/>
        <w:left w:val="none" w:sz="0" w:space="0" w:color="auto"/>
        <w:bottom w:val="none" w:sz="0" w:space="0" w:color="auto"/>
        <w:right w:val="none" w:sz="0" w:space="0" w:color="auto"/>
      </w:divBdr>
    </w:div>
    <w:div w:id="1247807899">
      <w:bodyDiv w:val="1"/>
      <w:marLeft w:val="0"/>
      <w:marRight w:val="0"/>
      <w:marTop w:val="0"/>
      <w:marBottom w:val="0"/>
      <w:divBdr>
        <w:top w:val="none" w:sz="0" w:space="0" w:color="auto"/>
        <w:left w:val="none" w:sz="0" w:space="0" w:color="auto"/>
        <w:bottom w:val="none" w:sz="0" w:space="0" w:color="auto"/>
        <w:right w:val="none" w:sz="0" w:space="0" w:color="auto"/>
      </w:divBdr>
    </w:div>
    <w:div w:id="1292175346">
      <w:bodyDiv w:val="1"/>
      <w:marLeft w:val="0"/>
      <w:marRight w:val="0"/>
      <w:marTop w:val="0"/>
      <w:marBottom w:val="0"/>
      <w:divBdr>
        <w:top w:val="none" w:sz="0" w:space="0" w:color="auto"/>
        <w:left w:val="none" w:sz="0" w:space="0" w:color="auto"/>
        <w:bottom w:val="none" w:sz="0" w:space="0" w:color="auto"/>
        <w:right w:val="none" w:sz="0" w:space="0" w:color="auto"/>
      </w:divBdr>
    </w:div>
    <w:div w:id="1333223264">
      <w:bodyDiv w:val="1"/>
      <w:marLeft w:val="0"/>
      <w:marRight w:val="0"/>
      <w:marTop w:val="0"/>
      <w:marBottom w:val="0"/>
      <w:divBdr>
        <w:top w:val="none" w:sz="0" w:space="0" w:color="auto"/>
        <w:left w:val="none" w:sz="0" w:space="0" w:color="auto"/>
        <w:bottom w:val="none" w:sz="0" w:space="0" w:color="auto"/>
        <w:right w:val="none" w:sz="0" w:space="0" w:color="auto"/>
      </w:divBdr>
    </w:div>
    <w:div w:id="1453014609">
      <w:bodyDiv w:val="1"/>
      <w:marLeft w:val="0"/>
      <w:marRight w:val="0"/>
      <w:marTop w:val="0"/>
      <w:marBottom w:val="0"/>
      <w:divBdr>
        <w:top w:val="none" w:sz="0" w:space="0" w:color="auto"/>
        <w:left w:val="none" w:sz="0" w:space="0" w:color="auto"/>
        <w:bottom w:val="none" w:sz="0" w:space="0" w:color="auto"/>
        <w:right w:val="none" w:sz="0" w:space="0" w:color="auto"/>
      </w:divBdr>
    </w:div>
    <w:div w:id="1504710649">
      <w:bodyDiv w:val="1"/>
      <w:marLeft w:val="0"/>
      <w:marRight w:val="0"/>
      <w:marTop w:val="0"/>
      <w:marBottom w:val="0"/>
      <w:divBdr>
        <w:top w:val="none" w:sz="0" w:space="0" w:color="auto"/>
        <w:left w:val="none" w:sz="0" w:space="0" w:color="auto"/>
        <w:bottom w:val="none" w:sz="0" w:space="0" w:color="auto"/>
        <w:right w:val="none" w:sz="0" w:space="0" w:color="auto"/>
      </w:divBdr>
    </w:div>
    <w:div w:id="1691566658">
      <w:bodyDiv w:val="1"/>
      <w:marLeft w:val="0"/>
      <w:marRight w:val="0"/>
      <w:marTop w:val="0"/>
      <w:marBottom w:val="0"/>
      <w:divBdr>
        <w:top w:val="none" w:sz="0" w:space="0" w:color="auto"/>
        <w:left w:val="none" w:sz="0" w:space="0" w:color="auto"/>
        <w:bottom w:val="none" w:sz="0" w:space="0" w:color="auto"/>
        <w:right w:val="none" w:sz="0" w:space="0" w:color="auto"/>
      </w:divBdr>
    </w:div>
    <w:div w:id="1698502438">
      <w:bodyDiv w:val="1"/>
      <w:marLeft w:val="0"/>
      <w:marRight w:val="0"/>
      <w:marTop w:val="0"/>
      <w:marBottom w:val="0"/>
      <w:divBdr>
        <w:top w:val="none" w:sz="0" w:space="0" w:color="auto"/>
        <w:left w:val="none" w:sz="0" w:space="0" w:color="auto"/>
        <w:bottom w:val="none" w:sz="0" w:space="0" w:color="auto"/>
        <w:right w:val="none" w:sz="0" w:space="0" w:color="auto"/>
      </w:divBdr>
    </w:div>
    <w:div w:id="1699577528">
      <w:bodyDiv w:val="1"/>
      <w:marLeft w:val="0"/>
      <w:marRight w:val="0"/>
      <w:marTop w:val="0"/>
      <w:marBottom w:val="0"/>
      <w:divBdr>
        <w:top w:val="none" w:sz="0" w:space="0" w:color="auto"/>
        <w:left w:val="none" w:sz="0" w:space="0" w:color="auto"/>
        <w:bottom w:val="none" w:sz="0" w:space="0" w:color="auto"/>
        <w:right w:val="none" w:sz="0" w:space="0" w:color="auto"/>
      </w:divBdr>
    </w:div>
    <w:div w:id="1736660370">
      <w:bodyDiv w:val="1"/>
      <w:marLeft w:val="0"/>
      <w:marRight w:val="0"/>
      <w:marTop w:val="0"/>
      <w:marBottom w:val="0"/>
      <w:divBdr>
        <w:top w:val="none" w:sz="0" w:space="0" w:color="auto"/>
        <w:left w:val="none" w:sz="0" w:space="0" w:color="auto"/>
        <w:bottom w:val="none" w:sz="0" w:space="0" w:color="auto"/>
        <w:right w:val="none" w:sz="0" w:space="0" w:color="auto"/>
      </w:divBdr>
    </w:div>
    <w:div w:id="1861896435">
      <w:bodyDiv w:val="1"/>
      <w:marLeft w:val="0"/>
      <w:marRight w:val="0"/>
      <w:marTop w:val="0"/>
      <w:marBottom w:val="0"/>
      <w:divBdr>
        <w:top w:val="none" w:sz="0" w:space="0" w:color="auto"/>
        <w:left w:val="none" w:sz="0" w:space="0" w:color="auto"/>
        <w:bottom w:val="none" w:sz="0" w:space="0" w:color="auto"/>
        <w:right w:val="none" w:sz="0" w:space="0" w:color="auto"/>
      </w:divBdr>
    </w:div>
    <w:div w:id="1890453681">
      <w:bodyDiv w:val="1"/>
      <w:marLeft w:val="0"/>
      <w:marRight w:val="0"/>
      <w:marTop w:val="0"/>
      <w:marBottom w:val="0"/>
      <w:divBdr>
        <w:top w:val="none" w:sz="0" w:space="0" w:color="auto"/>
        <w:left w:val="none" w:sz="0" w:space="0" w:color="auto"/>
        <w:bottom w:val="none" w:sz="0" w:space="0" w:color="auto"/>
        <w:right w:val="none" w:sz="0" w:space="0" w:color="auto"/>
      </w:divBdr>
    </w:div>
    <w:div w:id="1896046078">
      <w:bodyDiv w:val="1"/>
      <w:marLeft w:val="0"/>
      <w:marRight w:val="0"/>
      <w:marTop w:val="0"/>
      <w:marBottom w:val="0"/>
      <w:divBdr>
        <w:top w:val="none" w:sz="0" w:space="0" w:color="auto"/>
        <w:left w:val="none" w:sz="0" w:space="0" w:color="auto"/>
        <w:bottom w:val="none" w:sz="0" w:space="0" w:color="auto"/>
        <w:right w:val="none" w:sz="0" w:space="0" w:color="auto"/>
      </w:divBdr>
    </w:div>
    <w:div w:id="1988321103">
      <w:bodyDiv w:val="1"/>
      <w:marLeft w:val="0"/>
      <w:marRight w:val="0"/>
      <w:marTop w:val="0"/>
      <w:marBottom w:val="0"/>
      <w:divBdr>
        <w:top w:val="none" w:sz="0" w:space="0" w:color="auto"/>
        <w:left w:val="none" w:sz="0" w:space="0" w:color="auto"/>
        <w:bottom w:val="none" w:sz="0" w:space="0" w:color="auto"/>
        <w:right w:val="none" w:sz="0" w:space="0" w:color="auto"/>
      </w:divBdr>
    </w:div>
    <w:div w:id="20072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teismas.l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E251F-63CE-4418-9FD2-CC6A4142E53D}">
  <ds:schemaRefs>
    <ds:schemaRef ds:uri="http://schemas.microsoft.com/sharepoint/v3/contenttype/forms"/>
  </ds:schemaRefs>
</ds:datastoreItem>
</file>

<file path=customXml/itemProps2.xml><?xml version="1.0" encoding="utf-8"?>
<ds:datastoreItem xmlns:ds="http://schemas.openxmlformats.org/officeDocument/2006/customXml" ds:itemID="{ADD6BB9B-7C87-4E57-8CD8-1A00426D9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Sabataitytė | Lietuvos mokslo taryba</dc:creator>
  <cp:keywords/>
  <dc:description/>
  <cp:lastModifiedBy>Rasa Rimeisytė | Lietuvos mokslo taryba</cp:lastModifiedBy>
  <cp:revision>172</cp:revision>
  <cp:lastPrinted>2022-11-11T01:06:00Z</cp:lastPrinted>
  <dcterms:created xsi:type="dcterms:W3CDTF">2022-11-11T01:07:00Z</dcterms:created>
  <dcterms:modified xsi:type="dcterms:W3CDTF">2025-09-15T11:24:00Z</dcterms:modified>
</cp:coreProperties>
</file>