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EB991" w14:textId="77777777" w:rsidR="005E69DC" w:rsidRDefault="00843609" w:rsidP="005E69DC">
      <w:pPr>
        <w:spacing w:after="0" w:line="240" w:lineRule="auto"/>
        <w:ind w:left="6034"/>
        <w:jc w:val="both"/>
        <w:rPr>
          <w:rFonts w:ascii="Times New Roman" w:hAnsi="Times New Roman" w:cs="Times New Roman"/>
        </w:rPr>
      </w:pPr>
      <w:r w:rsidRPr="005E69DC">
        <w:rPr>
          <w:rFonts w:ascii="Times New Roman" w:hAnsi="Times New Roman" w:cs="Times New Roman"/>
        </w:rPr>
        <w:t xml:space="preserve">Studentų atrankos ir finansavimo skyrimo dalyvauti vasaros mokyklų programose užsienyje tvarkos aprašo </w:t>
      </w:r>
    </w:p>
    <w:p w14:paraId="7CF20F59" w14:textId="641DBB13" w:rsidR="00843609" w:rsidRPr="005E69DC" w:rsidRDefault="00843609" w:rsidP="005E69DC">
      <w:pPr>
        <w:spacing w:after="0" w:line="240" w:lineRule="auto"/>
        <w:ind w:left="6034"/>
        <w:jc w:val="both"/>
        <w:rPr>
          <w:rFonts w:ascii="Times New Roman" w:hAnsi="Times New Roman" w:cs="Times New Roman"/>
        </w:rPr>
      </w:pPr>
      <w:r w:rsidRPr="005E69DC">
        <w:rPr>
          <w:rFonts w:ascii="Times New Roman" w:hAnsi="Times New Roman" w:cs="Times New Roman"/>
        </w:rPr>
        <w:t>4 priedas</w:t>
      </w:r>
    </w:p>
    <w:p w14:paraId="1A560195" w14:textId="77777777" w:rsidR="005E69DC" w:rsidRDefault="005E6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972C9B" w14:textId="708782F3" w:rsidR="005C5506" w:rsidRDefault="007E0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(Paraiškos dalyvauti vasaros mokyklų programose užsienyje ekspertinio įvertinimo forma)</w:t>
      </w:r>
    </w:p>
    <w:p w14:paraId="4296F686" w14:textId="77777777" w:rsidR="005C5506" w:rsidRDefault="005C5506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</w:rPr>
      </w:pPr>
    </w:p>
    <w:p w14:paraId="347C3FB5" w14:textId="45A2C4F0" w:rsidR="005C5506" w:rsidRDefault="007E0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>PARAIŠKOS DALYVAUTI VASAROS MOKYKL</w:t>
      </w:r>
      <w:r w:rsidR="00A82E4B">
        <w:rPr>
          <w:rFonts w:ascii="Times New Roman" w:eastAsia="Times New Roman" w:hAnsi="Times New Roman" w:cs="Times New Roman"/>
          <w:b/>
          <w:smallCaps/>
        </w:rPr>
        <w:t>OS</w:t>
      </w:r>
      <w:r>
        <w:rPr>
          <w:rFonts w:ascii="Times New Roman" w:eastAsia="Times New Roman" w:hAnsi="Times New Roman" w:cs="Times New Roman"/>
          <w:b/>
          <w:smallCaps/>
        </w:rPr>
        <w:t xml:space="preserve"> PROGRAMO</w:t>
      </w:r>
      <w:r w:rsidR="00A82E4B">
        <w:rPr>
          <w:rFonts w:ascii="Times New Roman" w:eastAsia="Times New Roman" w:hAnsi="Times New Roman" w:cs="Times New Roman"/>
          <w:b/>
          <w:smallCaps/>
        </w:rPr>
        <w:t>J</w:t>
      </w:r>
      <w:r>
        <w:rPr>
          <w:rFonts w:ascii="Times New Roman" w:eastAsia="Times New Roman" w:hAnsi="Times New Roman" w:cs="Times New Roman"/>
          <w:b/>
          <w:smallCaps/>
        </w:rPr>
        <w:t>E UŽSIENYJE EKSPERTINIS ĮVERTINIMAS</w:t>
      </w:r>
    </w:p>
    <w:p w14:paraId="1DA4DD92" w14:textId="77777777" w:rsidR="005C5506" w:rsidRDefault="005C5506">
      <w:pPr>
        <w:spacing w:after="0" w:line="240" w:lineRule="auto"/>
        <w:rPr>
          <w:rFonts w:ascii="Times New Roman" w:eastAsia="Times New Roman" w:hAnsi="Times New Roman" w:cs="Times New Roman"/>
          <w:smallCaps/>
        </w:rPr>
      </w:pPr>
    </w:p>
    <w:p w14:paraId="58D4E335" w14:textId="77777777" w:rsidR="005C5506" w:rsidRDefault="007E0BE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Paraiškos registracijos numeris . . . . . . . . . . . . . . . . . . . . . . . . . . . . . . . . . . . . . . . . . . . . . . . . . . . . . . . </w:t>
      </w:r>
    </w:p>
    <w:p w14:paraId="7A1D58CB" w14:textId="77777777" w:rsidR="005C5506" w:rsidRDefault="007E0BE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Studento vardas, pavardė . . . . . . . . . . . . . . . . . . . . . . . . . . . . . . . . . . . . . . . . . . . . . . . . . . . . . . . . . . </w:t>
      </w:r>
    </w:p>
    <w:p w14:paraId="52E45D34" w14:textId="77777777" w:rsidR="005C5506" w:rsidRDefault="005C5506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DD87EAA" w14:textId="77777777" w:rsidR="005C5506" w:rsidRDefault="007E0BEB">
      <w:pPr>
        <w:spacing w:after="12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 Įvertinimas pagal kriterijus:</w:t>
      </w:r>
    </w:p>
    <w:tbl>
      <w:tblPr>
        <w:tblW w:w="9805" w:type="dxa"/>
        <w:jc w:val="center"/>
        <w:tblLayout w:type="fixed"/>
        <w:tblLook w:val="0000" w:firstRow="0" w:lastRow="0" w:firstColumn="0" w:lastColumn="0" w:noHBand="0" w:noVBand="0"/>
      </w:tblPr>
      <w:tblGrid>
        <w:gridCol w:w="6835"/>
        <w:gridCol w:w="1440"/>
        <w:gridCol w:w="1530"/>
      </w:tblGrid>
      <w:tr w:rsidR="009725EF" w14:paraId="69AFEFFB" w14:textId="77777777" w:rsidTr="60B3DDF2">
        <w:trPr>
          <w:jc w:val="center"/>
        </w:trPr>
        <w:tc>
          <w:tcPr>
            <w:tcW w:w="6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01361" w14:textId="77777777" w:rsidR="005C5506" w:rsidRDefault="007E0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Vertinimo kriterijus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1</w:t>
            </w:r>
          </w:p>
          <w:p w14:paraId="6D743EFC" w14:textId="77777777" w:rsidR="005C5506" w:rsidRDefault="005C55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14614" w14:textId="77777777" w:rsidR="005C5506" w:rsidRDefault="007E0BEB" w:rsidP="009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Didžiausias galimas įvertis pagal kriterijus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A42C3" w14:textId="77777777" w:rsidR="005C5506" w:rsidRDefault="007E0BEB" w:rsidP="009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Įvertinimo paaiškinimas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(privalomas)</w:t>
            </w:r>
          </w:p>
        </w:tc>
      </w:tr>
      <w:tr w:rsidR="006866EB" w14:paraId="2AE48B5E" w14:textId="50117591" w:rsidTr="60B3DDF2">
        <w:trPr>
          <w:jc w:val="center"/>
        </w:trPr>
        <w:tc>
          <w:tcPr>
            <w:tcW w:w="6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96526B" w14:textId="3F858FA8" w:rsidR="006866EB" w:rsidRDefault="00686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1. 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Vasaros mokyklos programos užsienyje mokslinis (meninis) lygis </w:t>
            </w:r>
          </w:p>
        </w:tc>
        <w:tc>
          <w:tcPr>
            <w:tcW w:w="29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D80D7F" w14:textId="7D602208" w:rsidR="006866EB" w:rsidRDefault="00822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 </w:t>
            </w:r>
            <w:r w:rsidR="003610DD">
              <w:rPr>
                <w:rFonts w:ascii="Times New Roman" w:eastAsia="Times New Roman" w:hAnsi="Times New Roman" w:cs="Times New Roman"/>
                <w:b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17)</w:t>
            </w:r>
          </w:p>
        </w:tc>
      </w:tr>
      <w:tr w:rsidR="009725EF" w14:paraId="74767583" w14:textId="77777777" w:rsidTr="60B3DDF2">
        <w:trPr>
          <w:trHeight w:val="1765"/>
          <w:jc w:val="center"/>
        </w:trPr>
        <w:tc>
          <w:tcPr>
            <w:tcW w:w="6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36D57" w14:textId="304A996F" w:rsidR="005C5506" w:rsidRPr="00715021" w:rsidRDefault="007E0B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757B8EDB">
              <w:rPr>
                <w:rFonts w:ascii="Times New Roman" w:eastAsia="Times New Roman" w:hAnsi="Times New Roman" w:cs="Times New Roman"/>
              </w:rPr>
              <w:t>1.1. Įvertinama, ar vasaros mokykla, į kur</w:t>
            </w:r>
            <w:r w:rsidR="00292E42">
              <w:rPr>
                <w:rFonts w:ascii="Times New Roman" w:eastAsia="Times New Roman" w:hAnsi="Times New Roman" w:cs="Times New Roman"/>
              </w:rPr>
              <w:t>ią</w:t>
            </w:r>
            <w:r w:rsidRPr="757B8EDB">
              <w:rPr>
                <w:rFonts w:ascii="Times New Roman" w:eastAsia="Times New Roman" w:hAnsi="Times New Roman" w:cs="Times New Roman"/>
              </w:rPr>
              <w:t xml:space="preserve"> vykti prašoma </w:t>
            </w:r>
            <w:r w:rsidR="00292E42">
              <w:rPr>
                <w:rFonts w:ascii="Times New Roman" w:eastAsia="Times New Roman" w:hAnsi="Times New Roman" w:cs="Times New Roman"/>
              </w:rPr>
              <w:t>finansavimo</w:t>
            </w:r>
            <w:r w:rsidRPr="757B8EDB">
              <w:rPr>
                <w:rFonts w:ascii="Times New Roman" w:eastAsia="Times New Roman" w:hAnsi="Times New Roman" w:cs="Times New Roman"/>
              </w:rPr>
              <w:t xml:space="preserve">, yra tarptautinė, vykstanti užsienyje ir organizuojama užsienio aukštosios mokyklos, mokslo ar tyrimų institucijos arba tarptautinės mokslinių tyrimų </w:t>
            </w:r>
            <w:r w:rsidRPr="0066785D">
              <w:rPr>
                <w:rFonts w:ascii="Times New Roman" w:eastAsia="Times New Roman" w:hAnsi="Times New Roman" w:cs="Times New Roman"/>
              </w:rPr>
              <w:t>infrastruktūros</w:t>
            </w:r>
            <w:r w:rsidR="001869B5" w:rsidRPr="0066785D">
              <w:rPr>
                <w:rFonts w:ascii="Times New Roman" w:eastAsia="Times New Roman" w:hAnsi="Times New Roman" w:cs="Times New Roman"/>
              </w:rPr>
              <w:t xml:space="preserve">, </w:t>
            </w:r>
            <w:r w:rsidR="2F27C52C" w:rsidRPr="0066785D">
              <w:rPr>
                <w:rFonts w:ascii="Times New Roman" w:eastAsia="Times New Roman" w:hAnsi="Times New Roman" w:cs="Times New Roman"/>
              </w:rPr>
              <w:t xml:space="preserve">mokslo draugijos </w:t>
            </w:r>
            <w:r w:rsidR="00715021" w:rsidRPr="0066785D">
              <w:rPr>
                <w:rFonts w:ascii="Times New Roman" w:eastAsia="Times New Roman" w:hAnsi="Times New Roman" w:cs="Times New Roman"/>
              </w:rPr>
              <w:t xml:space="preserve">ar </w:t>
            </w:r>
            <w:r w:rsidR="2F27C52C" w:rsidRPr="0066785D">
              <w:rPr>
                <w:rFonts w:ascii="Times New Roman" w:eastAsia="Times New Roman" w:hAnsi="Times New Roman" w:cs="Times New Roman"/>
              </w:rPr>
              <w:t>organizacijos)</w:t>
            </w:r>
            <w:r w:rsidRPr="0066785D">
              <w:rPr>
                <w:rFonts w:ascii="Times New Roman" w:eastAsia="Times New Roman" w:hAnsi="Times New Roman" w:cs="Times New Roman"/>
              </w:rPr>
              <w:t>.</w:t>
            </w:r>
            <w:r w:rsidR="00DD79B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6BEEB8D" w14:textId="5C966E63" w:rsidR="005C5506" w:rsidRDefault="007E0BEB" w:rsidP="008228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Atsakius NE į aukščiau nurodytą klausimą, paraiška toliau nebevertinama, skiriant įvertį ,,0“ </w:t>
            </w:r>
            <w:r w:rsidRPr="00BF73E9">
              <w:rPr>
                <w:rFonts w:ascii="Times New Roman" w:eastAsia="Times New Roman" w:hAnsi="Times New Roman" w:cs="Times New Roman"/>
                <w:i/>
              </w:rPr>
              <w:t xml:space="preserve">pagal </w:t>
            </w:r>
            <w:r w:rsidR="00271883" w:rsidRPr="00BF73E9">
              <w:rPr>
                <w:rFonts w:ascii="Times New Roman" w:eastAsia="Times New Roman" w:hAnsi="Times New Roman" w:cs="Times New Roman"/>
                <w:i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kriterijų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ir nurodant galutinę išvadą ,,paraiška nefinansuotina“.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F7EEE" w14:textId="50670861" w:rsidR="005C5506" w:rsidRDefault="005C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529EF" w14:textId="77777777" w:rsidR="005C5506" w:rsidRDefault="005C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22874" w14:paraId="0F40EE37" w14:textId="77777777" w:rsidTr="60B3DDF2">
        <w:trPr>
          <w:trHeight w:val="2485"/>
          <w:jc w:val="center"/>
        </w:trPr>
        <w:tc>
          <w:tcPr>
            <w:tcW w:w="6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CCF21" w14:textId="4A46A12D" w:rsidR="00822874" w:rsidRPr="00BF73E9" w:rsidRDefault="008228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BF73E9">
              <w:rPr>
                <w:rFonts w:ascii="Times New Roman" w:eastAsia="Times New Roman" w:hAnsi="Times New Roman" w:cs="Times New Roman"/>
                <w:i/>
              </w:rPr>
              <w:t>Atsakius TAIP į aukščiau nurodyt</w:t>
            </w:r>
            <w:r w:rsidR="0066785D">
              <w:rPr>
                <w:rFonts w:ascii="Times New Roman" w:eastAsia="Times New Roman" w:hAnsi="Times New Roman" w:cs="Times New Roman"/>
                <w:i/>
              </w:rPr>
              <w:t>ą</w:t>
            </w:r>
            <w:r w:rsidRPr="00BF73E9">
              <w:rPr>
                <w:rFonts w:ascii="Times New Roman" w:eastAsia="Times New Roman" w:hAnsi="Times New Roman" w:cs="Times New Roman"/>
                <w:i/>
              </w:rPr>
              <w:t xml:space="preserve"> klausim</w:t>
            </w:r>
            <w:r w:rsidR="0066785D">
              <w:rPr>
                <w:rFonts w:ascii="Times New Roman" w:eastAsia="Times New Roman" w:hAnsi="Times New Roman" w:cs="Times New Roman"/>
                <w:i/>
              </w:rPr>
              <w:t>ą</w:t>
            </w:r>
            <w:r w:rsidRPr="00BF73E9">
              <w:rPr>
                <w:rFonts w:ascii="Times New Roman" w:eastAsia="Times New Roman" w:hAnsi="Times New Roman" w:cs="Times New Roman"/>
                <w:i/>
              </w:rPr>
              <w:t>:</w:t>
            </w:r>
          </w:p>
          <w:p w14:paraId="318D3963" w14:textId="77777777" w:rsidR="002900B7" w:rsidRPr="00BF73E9" w:rsidRDefault="00822874" w:rsidP="008228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73E9">
              <w:rPr>
                <w:rFonts w:ascii="Times New Roman" w:eastAsia="Times New Roman" w:hAnsi="Times New Roman" w:cs="Times New Roman"/>
              </w:rPr>
              <w:t xml:space="preserve">1.2. Įvertinama, ar vasaros mokykla yra organizuojama pripažintos aukštosios mokyklos, mokslo ar tyrimų institucijos, skiriant balus nuo 0 iki 7 </w:t>
            </w:r>
          </w:p>
          <w:p w14:paraId="10C1548B" w14:textId="0D6848BD" w:rsidR="002900B7" w:rsidRPr="00BF73E9" w:rsidRDefault="00822874" w:rsidP="008228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73E9">
              <w:rPr>
                <w:rFonts w:ascii="Times New Roman" w:eastAsia="Times New Roman" w:hAnsi="Times New Roman" w:cs="Times New Roman"/>
                <w:i/>
                <w:iCs/>
              </w:rPr>
              <w:t xml:space="preserve">7 balai – vykdoma prestižinėje institucijoje (pvz. į QS TOP 200 reitingą patenkanti, tarptautiniu mastu žinoma mokslo institucija ar organizacija); </w:t>
            </w:r>
          </w:p>
          <w:p w14:paraId="7D6ECF9D" w14:textId="2D9A63EF" w:rsidR="002900B7" w:rsidRPr="00BF73E9" w:rsidRDefault="00822874" w:rsidP="008228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73E9">
              <w:rPr>
                <w:rFonts w:ascii="Times New Roman" w:eastAsia="Times New Roman" w:hAnsi="Times New Roman" w:cs="Times New Roman"/>
                <w:i/>
                <w:iCs/>
              </w:rPr>
              <w:t xml:space="preserve">5-6 balai – gerai žinoma institucija, turinti aiškų akademinį autoritetą; </w:t>
            </w:r>
          </w:p>
          <w:p w14:paraId="31AB87FF" w14:textId="16F89AEC" w:rsidR="002900B7" w:rsidRPr="00BF73E9" w:rsidRDefault="00822874" w:rsidP="008228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73E9">
              <w:rPr>
                <w:rFonts w:ascii="Times New Roman" w:eastAsia="Times New Roman" w:hAnsi="Times New Roman" w:cs="Times New Roman"/>
                <w:i/>
                <w:iCs/>
              </w:rPr>
              <w:t xml:space="preserve">3-4 balai – vidutinio lygio institucija; </w:t>
            </w:r>
          </w:p>
          <w:p w14:paraId="6AF95908" w14:textId="5A5C1411" w:rsidR="002900B7" w:rsidRPr="00BF73E9" w:rsidRDefault="00822874" w:rsidP="008228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73E9">
              <w:rPr>
                <w:rFonts w:ascii="Times New Roman" w:eastAsia="Times New Roman" w:hAnsi="Times New Roman" w:cs="Times New Roman"/>
                <w:i/>
                <w:iCs/>
              </w:rPr>
              <w:t>1-2 balai – mažai žinoma institucija, ribotas akademinis lygis</w:t>
            </w:r>
            <w:r w:rsidR="003610DD" w:rsidRPr="00BF73E9">
              <w:rPr>
                <w:rFonts w:ascii="Times New Roman" w:eastAsia="Times New Roman" w:hAnsi="Times New Roman" w:cs="Times New Roman"/>
                <w:i/>
                <w:iCs/>
              </w:rPr>
              <w:t>;</w:t>
            </w:r>
            <w:r w:rsidRPr="00BF73E9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  <w:p w14:paraId="69B3DA5E" w14:textId="197AC332" w:rsidR="00822874" w:rsidRPr="00BF73E9" w:rsidRDefault="00822874" w:rsidP="008228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73E9">
              <w:rPr>
                <w:rFonts w:ascii="Times New Roman" w:eastAsia="Times New Roman" w:hAnsi="Times New Roman" w:cs="Times New Roman"/>
                <w:i/>
                <w:iCs/>
              </w:rPr>
              <w:t>0 –institucija nežinoma, neaišku, ar atitinka akademinius standartus.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D2C7A" w14:textId="328841B8" w:rsidR="00822874" w:rsidRDefault="002900B7" w:rsidP="00822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(7)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0267A" w14:textId="77777777" w:rsidR="00822874" w:rsidRDefault="0082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22874" w14:paraId="6FFC5275" w14:textId="77777777" w:rsidTr="60B3DDF2">
        <w:trPr>
          <w:trHeight w:val="1706"/>
          <w:jc w:val="center"/>
        </w:trPr>
        <w:tc>
          <w:tcPr>
            <w:tcW w:w="6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67745" w14:textId="77777777" w:rsidR="002900B7" w:rsidRPr="00BF73E9" w:rsidRDefault="00822874" w:rsidP="008228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73E9">
              <w:rPr>
                <w:rFonts w:ascii="Times New Roman" w:eastAsia="Times New Roman" w:hAnsi="Times New Roman" w:cs="Times New Roman"/>
              </w:rPr>
              <w:t xml:space="preserve">1.3. Įvertinamas programos turinys ir akademinis lygis, skiriant balus nuo 0 iki 5 </w:t>
            </w:r>
          </w:p>
          <w:p w14:paraId="12F07819" w14:textId="6205AD9D" w:rsidR="002900B7" w:rsidRPr="00BF73E9" w:rsidRDefault="00822874" w:rsidP="757B8E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73E9">
              <w:rPr>
                <w:rFonts w:ascii="Times New Roman" w:eastAsia="Times New Roman" w:hAnsi="Times New Roman" w:cs="Times New Roman"/>
                <w:i/>
                <w:iCs/>
              </w:rPr>
              <w:t xml:space="preserve">5 balai – </w:t>
            </w:r>
            <w:r w:rsidR="0A485A14" w:rsidRPr="00BF73E9">
              <w:rPr>
                <w:rFonts w:ascii="Times New Roman" w:eastAsia="Times New Roman" w:hAnsi="Times New Roman" w:cs="Times New Roman"/>
                <w:i/>
                <w:iCs/>
              </w:rPr>
              <w:t>ypatingai inovatyvus ir aktualus akademinis</w:t>
            </w:r>
            <w:r w:rsidRPr="00BF73E9">
              <w:rPr>
                <w:rFonts w:ascii="Times New Roman" w:eastAsia="Times New Roman" w:hAnsi="Times New Roman" w:cs="Times New Roman"/>
                <w:i/>
                <w:iCs/>
              </w:rPr>
              <w:t xml:space="preserve"> turinys, aktualios temos, mokymus veda </w:t>
            </w:r>
            <w:r w:rsidR="2388B19A" w:rsidRPr="00BF73E9">
              <w:rPr>
                <w:rFonts w:ascii="Times New Roman" w:eastAsia="Times New Roman" w:hAnsi="Times New Roman" w:cs="Times New Roman"/>
                <w:i/>
                <w:iCs/>
              </w:rPr>
              <w:t xml:space="preserve">aktyviai mokslinę veiklą vykdantys </w:t>
            </w:r>
            <w:r w:rsidRPr="00BF73E9">
              <w:rPr>
                <w:rFonts w:ascii="Times New Roman" w:eastAsia="Times New Roman" w:hAnsi="Times New Roman" w:cs="Times New Roman"/>
                <w:i/>
                <w:iCs/>
              </w:rPr>
              <w:t>dėstytojai</w:t>
            </w:r>
            <w:r w:rsidR="003610DD" w:rsidRPr="00BF73E9">
              <w:rPr>
                <w:rFonts w:ascii="Times New Roman" w:eastAsia="Times New Roman" w:hAnsi="Times New Roman" w:cs="Times New Roman"/>
                <w:i/>
                <w:iCs/>
              </w:rPr>
              <w:t>;</w:t>
            </w:r>
            <w:r w:rsidRPr="00BF73E9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  <w:p w14:paraId="40AF8763" w14:textId="687749EB" w:rsidR="002900B7" w:rsidRPr="00BF73E9" w:rsidRDefault="00822874" w:rsidP="757B8E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73E9">
              <w:rPr>
                <w:rFonts w:ascii="Times New Roman" w:eastAsia="Times New Roman" w:hAnsi="Times New Roman" w:cs="Times New Roman"/>
                <w:i/>
                <w:iCs/>
              </w:rPr>
              <w:t xml:space="preserve">3-4 balai – </w:t>
            </w:r>
            <w:r w:rsidR="12F4EDF6" w:rsidRPr="00BF73E9">
              <w:rPr>
                <w:rFonts w:ascii="Times New Roman" w:eastAsia="Times New Roman" w:hAnsi="Times New Roman" w:cs="Times New Roman"/>
                <w:i/>
                <w:iCs/>
              </w:rPr>
              <w:t xml:space="preserve">inovatyvus ir (arba) aktualus </w:t>
            </w:r>
            <w:r w:rsidRPr="00BF73E9">
              <w:rPr>
                <w:rFonts w:ascii="Times New Roman" w:eastAsia="Times New Roman" w:hAnsi="Times New Roman" w:cs="Times New Roman"/>
                <w:i/>
                <w:iCs/>
              </w:rPr>
              <w:t>akademinis turinys</w:t>
            </w:r>
            <w:r w:rsidR="003610DD" w:rsidRPr="00BF73E9">
              <w:rPr>
                <w:rFonts w:ascii="Times New Roman" w:eastAsia="Times New Roman" w:hAnsi="Times New Roman" w:cs="Times New Roman"/>
                <w:i/>
                <w:iCs/>
              </w:rPr>
              <w:t>;</w:t>
            </w:r>
            <w:r w:rsidRPr="00BF73E9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  <w:p w14:paraId="15371EFF" w14:textId="5EAACF1D" w:rsidR="006842C5" w:rsidRPr="00BF73E9" w:rsidRDefault="7430AB4E" w:rsidP="757B8E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73E9">
              <w:rPr>
                <w:rFonts w:ascii="Times New Roman" w:eastAsia="Times New Roman" w:hAnsi="Times New Roman" w:cs="Times New Roman"/>
                <w:i/>
                <w:iCs/>
              </w:rPr>
              <w:t>1-</w:t>
            </w:r>
            <w:r w:rsidR="00822874" w:rsidRPr="00BF73E9">
              <w:rPr>
                <w:rFonts w:ascii="Times New Roman" w:eastAsia="Times New Roman" w:hAnsi="Times New Roman" w:cs="Times New Roman"/>
                <w:i/>
                <w:iCs/>
              </w:rPr>
              <w:t>2 balai – bendr</w:t>
            </w:r>
            <w:r w:rsidR="2C749A01" w:rsidRPr="00BF73E9">
              <w:rPr>
                <w:rFonts w:ascii="Times New Roman" w:eastAsia="Times New Roman" w:hAnsi="Times New Roman" w:cs="Times New Roman"/>
                <w:i/>
                <w:iCs/>
              </w:rPr>
              <w:t>o akademinio</w:t>
            </w:r>
            <w:r w:rsidR="00822874" w:rsidRPr="00BF73E9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="593394DE" w:rsidRPr="00BF73E9">
              <w:rPr>
                <w:rFonts w:ascii="Times New Roman" w:eastAsia="Times New Roman" w:hAnsi="Times New Roman" w:cs="Times New Roman"/>
                <w:i/>
                <w:iCs/>
              </w:rPr>
              <w:t xml:space="preserve">ir (arba) pažintinio </w:t>
            </w:r>
            <w:r w:rsidR="00822874" w:rsidRPr="00BF73E9">
              <w:rPr>
                <w:rFonts w:ascii="Times New Roman" w:eastAsia="Times New Roman" w:hAnsi="Times New Roman" w:cs="Times New Roman"/>
                <w:i/>
                <w:iCs/>
              </w:rPr>
              <w:t xml:space="preserve">pobūdžio </w:t>
            </w:r>
            <w:r w:rsidR="686DD147" w:rsidRPr="00BF73E9">
              <w:rPr>
                <w:rFonts w:ascii="Times New Roman" w:eastAsia="Times New Roman" w:hAnsi="Times New Roman" w:cs="Times New Roman"/>
                <w:i/>
                <w:iCs/>
              </w:rPr>
              <w:t xml:space="preserve">mokymų </w:t>
            </w:r>
            <w:r w:rsidR="00822874" w:rsidRPr="00BF73E9">
              <w:rPr>
                <w:rFonts w:ascii="Times New Roman" w:eastAsia="Times New Roman" w:hAnsi="Times New Roman" w:cs="Times New Roman"/>
                <w:i/>
                <w:iCs/>
              </w:rPr>
              <w:t>turinys</w:t>
            </w:r>
            <w:r w:rsidR="003610DD" w:rsidRPr="00BF73E9">
              <w:rPr>
                <w:rFonts w:ascii="Times New Roman" w:eastAsia="Times New Roman" w:hAnsi="Times New Roman" w:cs="Times New Roman"/>
                <w:i/>
                <w:iCs/>
              </w:rPr>
              <w:t>;</w:t>
            </w:r>
            <w:r w:rsidR="00822874" w:rsidRPr="00BF73E9">
              <w:rPr>
                <w:rFonts w:ascii="Times New Roman" w:eastAsia="Times New Roman" w:hAnsi="Times New Roman" w:cs="Times New Roman"/>
                <w:i/>
                <w:iCs/>
              </w:rPr>
              <w:t xml:space="preserve">  </w:t>
            </w:r>
          </w:p>
          <w:p w14:paraId="48A06363" w14:textId="4F8F88ED" w:rsidR="00822874" w:rsidRPr="00BF73E9" w:rsidRDefault="00822874" w:rsidP="757B8E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73E9">
              <w:rPr>
                <w:rFonts w:ascii="Times New Roman" w:eastAsia="Times New Roman" w:hAnsi="Times New Roman" w:cs="Times New Roman"/>
                <w:i/>
                <w:iCs/>
              </w:rPr>
              <w:t xml:space="preserve">0 balų – trūksta aiškaus </w:t>
            </w:r>
            <w:r w:rsidR="2CE04D06" w:rsidRPr="00BF73E9">
              <w:rPr>
                <w:rFonts w:ascii="Times New Roman" w:eastAsia="Times New Roman" w:hAnsi="Times New Roman" w:cs="Times New Roman"/>
                <w:i/>
                <w:iCs/>
              </w:rPr>
              <w:t xml:space="preserve">(konkretaus) </w:t>
            </w:r>
            <w:r w:rsidRPr="00BF73E9">
              <w:rPr>
                <w:rFonts w:ascii="Times New Roman" w:eastAsia="Times New Roman" w:hAnsi="Times New Roman" w:cs="Times New Roman"/>
                <w:i/>
                <w:iCs/>
              </w:rPr>
              <w:t>mokymų turinio.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1A9A7" w14:textId="00B56997" w:rsidR="00822874" w:rsidRDefault="006842C5" w:rsidP="00822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(5)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63998" w14:textId="77777777" w:rsidR="00822874" w:rsidRDefault="0082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22874" w14:paraId="54D34F2C" w14:textId="77777777" w:rsidTr="60B3DDF2">
        <w:trPr>
          <w:trHeight w:val="264"/>
          <w:jc w:val="center"/>
        </w:trPr>
        <w:tc>
          <w:tcPr>
            <w:tcW w:w="6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2BA6E" w14:textId="6C2007E1" w:rsidR="006842C5" w:rsidRPr="00BF73E9" w:rsidRDefault="00822874" w:rsidP="757B8E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73E9">
              <w:rPr>
                <w:rFonts w:ascii="Times New Roman" w:eastAsia="Times New Roman" w:hAnsi="Times New Roman" w:cs="Times New Roman"/>
              </w:rPr>
              <w:t xml:space="preserve">1.4. Įvertinamas programos intensyvumas, skiriant balus nuo 0 iki 5 </w:t>
            </w:r>
          </w:p>
          <w:p w14:paraId="2880AA18" w14:textId="2D496ADA" w:rsidR="006842C5" w:rsidRPr="00BF73E9" w:rsidRDefault="00822874" w:rsidP="757B8E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73E9">
              <w:rPr>
                <w:rFonts w:ascii="Times New Roman" w:eastAsia="Times New Roman" w:hAnsi="Times New Roman" w:cs="Times New Roman"/>
                <w:i/>
                <w:iCs/>
              </w:rPr>
              <w:t xml:space="preserve">5 balai – programa trunka bent savaitę ir yra </w:t>
            </w:r>
            <w:r w:rsidR="003610DD" w:rsidRPr="00BF73E9">
              <w:rPr>
                <w:rFonts w:ascii="Times New Roman" w:eastAsia="Times New Roman" w:hAnsi="Times New Roman" w:cs="Times New Roman"/>
                <w:i/>
                <w:iCs/>
              </w:rPr>
              <w:t>i</w:t>
            </w:r>
            <w:r w:rsidRPr="00BF73E9">
              <w:rPr>
                <w:rFonts w:ascii="Times New Roman" w:eastAsia="Times New Roman" w:hAnsi="Times New Roman" w:cs="Times New Roman"/>
                <w:i/>
                <w:iCs/>
              </w:rPr>
              <w:t xml:space="preserve">ntensyvi, turinti daug kontaktinių valandų, vyksta praktiniai užsiėmimai; </w:t>
            </w:r>
          </w:p>
          <w:p w14:paraId="4DB2FF46" w14:textId="69F4DD76" w:rsidR="006842C5" w:rsidRPr="00BF73E9" w:rsidRDefault="00822874" w:rsidP="757B8E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73E9">
              <w:rPr>
                <w:rFonts w:ascii="Times New Roman" w:eastAsia="Times New Roman" w:hAnsi="Times New Roman" w:cs="Times New Roman"/>
                <w:i/>
                <w:iCs/>
              </w:rPr>
              <w:t xml:space="preserve">3-4 balai – programa </w:t>
            </w:r>
            <w:r w:rsidR="18A593BB" w:rsidRPr="00BF73E9">
              <w:rPr>
                <w:rFonts w:ascii="Times New Roman" w:eastAsia="Times New Roman" w:hAnsi="Times New Roman" w:cs="Times New Roman"/>
                <w:i/>
                <w:iCs/>
              </w:rPr>
              <w:t>trunka bent savaitę</w:t>
            </w:r>
            <w:r w:rsidR="4F8FA563" w:rsidRPr="00BF73E9">
              <w:rPr>
                <w:rFonts w:ascii="Times New Roman" w:eastAsia="Times New Roman" w:hAnsi="Times New Roman" w:cs="Times New Roman"/>
                <w:i/>
                <w:iCs/>
              </w:rPr>
              <w:t>,</w:t>
            </w:r>
            <w:r w:rsidRPr="00BF73E9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="311CCE03" w:rsidRPr="00BF73E9">
              <w:rPr>
                <w:rFonts w:ascii="Times New Roman" w:eastAsia="Times New Roman" w:hAnsi="Times New Roman" w:cs="Times New Roman"/>
                <w:i/>
                <w:iCs/>
              </w:rPr>
              <w:t xml:space="preserve">tačiau užsiėmimai </w:t>
            </w:r>
            <w:r w:rsidR="4ED7D8DA" w:rsidRPr="00BF73E9">
              <w:rPr>
                <w:rFonts w:ascii="Times New Roman" w:eastAsia="Times New Roman" w:hAnsi="Times New Roman" w:cs="Times New Roman"/>
                <w:i/>
                <w:iCs/>
              </w:rPr>
              <w:t>neturi teorinio arba praktinio komponento</w:t>
            </w:r>
            <w:r w:rsidRPr="00BF73E9">
              <w:rPr>
                <w:rFonts w:ascii="Times New Roman" w:eastAsia="Times New Roman" w:hAnsi="Times New Roman" w:cs="Times New Roman"/>
                <w:i/>
                <w:iCs/>
              </w:rPr>
              <w:t xml:space="preserve">; </w:t>
            </w:r>
          </w:p>
          <w:p w14:paraId="3CEB884A" w14:textId="5EBBE90A" w:rsidR="006842C5" w:rsidRPr="00BF73E9" w:rsidRDefault="00822874" w:rsidP="757B8E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73E9">
              <w:rPr>
                <w:rFonts w:ascii="Times New Roman" w:eastAsia="Times New Roman" w:hAnsi="Times New Roman" w:cs="Times New Roman"/>
                <w:i/>
                <w:iCs/>
              </w:rPr>
              <w:t xml:space="preserve">1-2 balai – </w:t>
            </w:r>
            <w:r w:rsidR="3FF34EBC" w:rsidRPr="00BF73E9">
              <w:rPr>
                <w:rFonts w:ascii="Times New Roman" w:eastAsia="Times New Roman" w:hAnsi="Times New Roman" w:cs="Times New Roman"/>
                <w:i/>
                <w:iCs/>
              </w:rPr>
              <w:t xml:space="preserve">programa trunka mažiau negu savaitę, akademinių užsiėmimų trukmė mažesnė nei 4 val. </w:t>
            </w:r>
            <w:r w:rsidR="59BEFF5B" w:rsidRPr="00BF73E9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="3FF34EBC" w:rsidRPr="00BF73E9">
              <w:rPr>
                <w:rFonts w:ascii="Times New Roman" w:eastAsia="Times New Roman" w:hAnsi="Times New Roman" w:cs="Times New Roman"/>
                <w:i/>
                <w:iCs/>
              </w:rPr>
              <w:t>er dien</w:t>
            </w:r>
            <w:r w:rsidR="635DD094" w:rsidRPr="00BF73E9">
              <w:rPr>
                <w:rFonts w:ascii="Times New Roman" w:eastAsia="Times New Roman" w:hAnsi="Times New Roman" w:cs="Times New Roman"/>
                <w:i/>
                <w:iCs/>
              </w:rPr>
              <w:t>ą</w:t>
            </w:r>
            <w:r w:rsidRPr="00BF73E9">
              <w:rPr>
                <w:rFonts w:ascii="Times New Roman" w:eastAsia="Times New Roman" w:hAnsi="Times New Roman" w:cs="Times New Roman"/>
                <w:i/>
                <w:iCs/>
              </w:rPr>
              <w:t xml:space="preserve">; </w:t>
            </w:r>
          </w:p>
          <w:p w14:paraId="0902CBB4" w14:textId="086AFD0B" w:rsidR="00822874" w:rsidRDefault="00822874" w:rsidP="757B8E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highlight w:val="yellow"/>
              </w:rPr>
            </w:pPr>
            <w:r w:rsidRPr="00BF73E9">
              <w:rPr>
                <w:rFonts w:ascii="Times New Roman" w:eastAsia="Times New Roman" w:hAnsi="Times New Roman" w:cs="Times New Roman"/>
                <w:i/>
                <w:iCs/>
              </w:rPr>
              <w:t>0 balų – program</w:t>
            </w:r>
            <w:r w:rsidR="3A012674" w:rsidRPr="00BF73E9">
              <w:rPr>
                <w:rFonts w:ascii="Times New Roman" w:eastAsia="Times New Roman" w:hAnsi="Times New Roman" w:cs="Times New Roman"/>
                <w:i/>
                <w:iCs/>
              </w:rPr>
              <w:t>o</w:t>
            </w:r>
            <w:r w:rsidRPr="00BF73E9">
              <w:rPr>
                <w:rFonts w:ascii="Times New Roman" w:eastAsia="Times New Roman" w:hAnsi="Times New Roman" w:cs="Times New Roman"/>
                <w:i/>
                <w:iCs/>
              </w:rPr>
              <w:t>s</w:t>
            </w:r>
            <w:r w:rsidR="3A012674" w:rsidRPr="00BF73E9">
              <w:rPr>
                <w:rFonts w:ascii="Times New Roman" w:eastAsia="Times New Roman" w:hAnsi="Times New Roman" w:cs="Times New Roman"/>
                <w:i/>
                <w:iCs/>
              </w:rPr>
              <w:t xml:space="preserve"> akademinių užsiėmimų trukmė nenurodyta,</w:t>
            </w:r>
            <w:r w:rsidRPr="00BF73E9">
              <w:rPr>
                <w:rFonts w:ascii="Times New Roman" w:eastAsia="Times New Roman" w:hAnsi="Times New Roman" w:cs="Times New Roman"/>
                <w:i/>
                <w:iCs/>
              </w:rPr>
              <w:t xml:space="preserve"> intensyvum</w:t>
            </w:r>
            <w:r w:rsidR="3139E258" w:rsidRPr="00BF73E9">
              <w:rPr>
                <w:rFonts w:ascii="Times New Roman" w:eastAsia="Times New Roman" w:hAnsi="Times New Roman" w:cs="Times New Roman"/>
                <w:i/>
                <w:iCs/>
              </w:rPr>
              <w:t>o neįmanoma įvertinti</w:t>
            </w:r>
            <w:r w:rsidRPr="00BF73E9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D7E60" w14:textId="19E86A50" w:rsidR="00822874" w:rsidRDefault="006842C5" w:rsidP="00822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(5)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5F560" w14:textId="77777777" w:rsidR="00822874" w:rsidRDefault="0082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842C5" w14:paraId="1272BAE5" w14:textId="77777777" w:rsidTr="60B3DDF2">
        <w:trPr>
          <w:trHeight w:val="525"/>
          <w:jc w:val="center"/>
        </w:trPr>
        <w:tc>
          <w:tcPr>
            <w:tcW w:w="98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DE478" w14:textId="6F5EDF08" w:rsidR="006842C5" w:rsidRDefault="00684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Balai, skirti už 1.2–1.4 papunkčiuose nurodytus vertinimo aspektus, susumuojami ir ši balų suma yra laikoma įverčiu pagal 1 paraiškos vertinimo kriterijų.</w:t>
            </w:r>
          </w:p>
        </w:tc>
      </w:tr>
      <w:tr w:rsidR="005C5506" w14:paraId="7AD37F95" w14:textId="77777777" w:rsidTr="60B3DDF2">
        <w:trPr>
          <w:jc w:val="center"/>
        </w:trPr>
        <w:tc>
          <w:tcPr>
            <w:tcW w:w="98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870B90" w14:textId="77777777" w:rsidR="005C5506" w:rsidRDefault="007E0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2. </w:t>
            </w:r>
            <w:r>
              <w:rPr>
                <w:rFonts w:ascii="Times New Roman" w:eastAsia="Times New Roman" w:hAnsi="Times New Roman" w:cs="Times New Roman"/>
                <w:b/>
              </w:rPr>
              <w:t>Vasaros mokyklos programos užsienyje ir studento studijų krypties atitiktis</w:t>
            </w:r>
          </w:p>
        </w:tc>
      </w:tr>
      <w:tr w:rsidR="009725EF" w14:paraId="0AF418AB" w14:textId="77777777" w:rsidTr="60B3DDF2">
        <w:trPr>
          <w:trHeight w:val="2060"/>
          <w:jc w:val="center"/>
        </w:trPr>
        <w:tc>
          <w:tcPr>
            <w:tcW w:w="6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9FF41" w14:textId="70AAF77A" w:rsidR="006842C5" w:rsidRPr="00BF73E9" w:rsidRDefault="007E0BEB" w:rsidP="007150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60B3DDF2">
              <w:rPr>
                <w:rFonts w:ascii="Times New Roman" w:eastAsia="Times New Roman" w:hAnsi="Times New Roman" w:cs="Times New Roman"/>
              </w:rPr>
              <w:lastRenderedPageBreak/>
              <w:t xml:space="preserve">2.1. Įvertinama, kiek vasaros mokyklos programa ir jos turinys dera su studento studijų kryptimi bei ar dalyvavimas šioje mokykloje gali prisidėti prie akademinio tobulėjimo (žinių gilinimo, metodologinių įgūdžių stiprinimo), skiriant balus nuo 0 iki 5 </w:t>
            </w:r>
            <w:r w:rsidR="0033710D" w:rsidRPr="60B3DDF2">
              <w:rPr>
                <w:rFonts w:ascii="Times New Roman" w:eastAsia="Times New Roman" w:hAnsi="Times New Roman" w:cs="Times New Roman"/>
              </w:rPr>
              <w:t>(vertinama pagal informaciją, pateiktą motyvaciniame laiške)</w:t>
            </w:r>
          </w:p>
          <w:p w14:paraId="277B794C" w14:textId="5E683AC7" w:rsidR="006842C5" w:rsidRPr="00BF73E9" w:rsidRDefault="007E0BEB" w:rsidP="007150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73E9">
              <w:rPr>
                <w:rFonts w:ascii="Times New Roman" w:eastAsia="Times New Roman" w:hAnsi="Times New Roman" w:cs="Times New Roman"/>
                <w:i/>
                <w:iCs/>
              </w:rPr>
              <w:t>5 balai – aiškus atitikmuo studijų krypčiai bei didelė</w:t>
            </w:r>
            <w:r w:rsidR="046469E9" w:rsidRPr="00BF73E9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F73E9">
              <w:rPr>
                <w:rFonts w:ascii="Times New Roman" w:eastAsia="Times New Roman" w:hAnsi="Times New Roman" w:cs="Times New Roman"/>
                <w:i/>
                <w:iCs/>
              </w:rPr>
              <w:t xml:space="preserve">akademinė nauda; </w:t>
            </w:r>
          </w:p>
          <w:p w14:paraId="013420DA" w14:textId="2F13549C" w:rsidR="006842C5" w:rsidRPr="00BF73E9" w:rsidRDefault="007E0BEB" w:rsidP="007150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73E9">
              <w:rPr>
                <w:rFonts w:ascii="Times New Roman" w:eastAsia="Times New Roman" w:hAnsi="Times New Roman" w:cs="Times New Roman"/>
                <w:i/>
                <w:iCs/>
              </w:rPr>
              <w:t xml:space="preserve">3-4 balai – artimas ryšys, naudinga </w:t>
            </w:r>
            <w:r w:rsidR="5B411717" w:rsidRPr="00BF73E9">
              <w:rPr>
                <w:rFonts w:ascii="Times New Roman" w:eastAsia="Times New Roman" w:hAnsi="Times New Roman" w:cs="Times New Roman"/>
                <w:i/>
                <w:iCs/>
              </w:rPr>
              <w:t xml:space="preserve">studento vykdomų </w:t>
            </w:r>
            <w:r w:rsidRPr="00BF73E9">
              <w:rPr>
                <w:rFonts w:ascii="Times New Roman" w:eastAsia="Times New Roman" w:hAnsi="Times New Roman" w:cs="Times New Roman"/>
                <w:i/>
                <w:iCs/>
              </w:rPr>
              <w:t xml:space="preserve">studijų kontekste; </w:t>
            </w:r>
          </w:p>
          <w:p w14:paraId="40E88AD0" w14:textId="77777777" w:rsidR="006842C5" w:rsidRPr="00BF73E9" w:rsidRDefault="007E0BEB" w:rsidP="007150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73E9">
              <w:rPr>
                <w:rFonts w:ascii="Times New Roman" w:eastAsia="Times New Roman" w:hAnsi="Times New Roman" w:cs="Times New Roman"/>
                <w:i/>
                <w:iCs/>
              </w:rPr>
              <w:t xml:space="preserve">1-2 balai – menka arba neapibrėžta sąsaja su studijų kryptimi; </w:t>
            </w:r>
          </w:p>
          <w:p w14:paraId="6F779B52" w14:textId="77777777" w:rsidR="005C5506" w:rsidRDefault="007E0BEB" w:rsidP="007150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73E9">
              <w:rPr>
                <w:rFonts w:ascii="Times New Roman" w:eastAsia="Times New Roman" w:hAnsi="Times New Roman" w:cs="Times New Roman"/>
                <w:i/>
                <w:iCs/>
              </w:rPr>
              <w:t>0 balų – nėra akivaizdaus ryšio ar naudos studijoms.</w:t>
            </w:r>
          </w:p>
          <w:p w14:paraId="0830AC8C" w14:textId="56A3BEFF" w:rsidR="00BE33D2" w:rsidRDefault="00BE33D2" w:rsidP="0071502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S</w:t>
            </w:r>
            <w:r w:rsidR="00C92373">
              <w:rPr>
                <w:rFonts w:ascii="Times New Roman" w:eastAsia="Times New Roman" w:hAnsi="Times New Roman" w:cs="Times New Roman"/>
                <w:i/>
              </w:rPr>
              <w:t>kyrus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įvertį ,,0“ </w:t>
            </w:r>
            <w:r w:rsidRPr="00BF73E9">
              <w:rPr>
                <w:rFonts w:ascii="Times New Roman" w:eastAsia="Times New Roman" w:hAnsi="Times New Roman" w:cs="Times New Roman"/>
                <w:i/>
              </w:rPr>
              <w:t xml:space="preserve">pagal </w:t>
            </w:r>
            <w:r>
              <w:rPr>
                <w:rFonts w:ascii="Times New Roman" w:eastAsia="Times New Roman" w:hAnsi="Times New Roman" w:cs="Times New Roman"/>
                <w:i/>
              </w:rPr>
              <w:t>2 kriterijų</w:t>
            </w:r>
            <w:r w:rsidR="002743D7">
              <w:t>,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galutinė</w:t>
            </w:r>
            <w:r w:rsidR="002743D7">
              <w:rPr>
                <w:rFonts w:ascii="Times New Roman" w:eastAsia="Times New Roman" w:hAnsi="Times New Roman" w:cs="Times New Roman"/>
                <w:i/>
              </w:rPr>
              <w:t>je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išvad</w:t>
            </w:r>
            <w:r w:rsidR="002743D7">
              <w:rPr>
                <w:rFonts w:ascii="Times New Roman" w:eastAsia="Times New Roman" w:hAnsi="Times New Roman" w:cs="Times New Roman"/>
                <w:i/>
              </w:rPr>
              <w:t>oje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nurodoma  ,,paraiška nefinansuotina“.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83101" w14:textId="77777777" w:rsidR="005C5506" w:rsidRDefault="007E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(5)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5CCB68" w14:textId="77777777" w:rsidR="005C5506" w:rsidRDefault="005C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5506" w14:paraId="6C13914B" w14:textId="77777777" w:rsidTr="60B3DDF2">
        <w:trPr>
          <w:trHeight w:val="219"/>
          <w:jc w:val="center"/>
        </w:trPr>
        <w:tc>
          <w:tcPr>
            <w:tcW w:w="6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632153" w14:textId="77777777" w:rsidR="005C5506" w:rsidRDefault="007E0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Įverčių suma pagal visus kriterijus:</w:t>
            </w:r>
          </w:p>
        </w:tc>
        <w:tc>
          <w:tcPr>
            <w:tcW w:w="29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258BF" w14:textId="77777777" w:rsidR="005C5506" w:rsidRPr="003610DD" w:rsidRDefault="007E0BEB">
            <w:pPr>
              <w:spacing w:after="0" w:line="240" w:lineRule="auto"/>
              <w:ind w:left="36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610DD">
              <w:rPr>
                <w:rFonts w:ascii="Times New Roman" w:eastAsia="Times New Roman" w:hAnsi="Times New Roman" w:cs="Times New Roman"/>
                <w:b/>
                <w:bCs/>
              </w:rPr>
              <w:t>(22)</w:t>
            </w:r>
          </w:p>
        </w:tc>
      </w:tr>
    </w:tbl>
    <w:p w14:paraId="45B9D864" w14:textId="77777777" w:rsidR="005C5506" w:rsidRDefault="007E0BE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</w:t>
      </w:r>
    </w:p>
    <w:p w14:paraId="1A374976" w14:textId="032CF9B0" w:rsidR="008636B3" w:rsidRDefault="007E0B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1C9A">
        <w:rPr>
          <w:rFonts w:ascii="Times New Roman" w:eastAsia="Times New Roman" w:hAnsi="Times New Roman" w:cs="Times New Roman"/>
          <w:color w:val="000000"/>
          <w:vertAlign w:val="superscript"/>
        </w:rPr>
        <w:t xml:space="preserve">1 </w:t>
      </w:r>
      <w:r w:rsidRPr="00BE1C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Projektų pirmumo eilė nustatoma pagal paraiškos suteiktų balų skaičių (nuo didžiausio iki mažiausio). </w:t>
      </w:r>
      <w:r w:rsidR="008636B3" w:rsidRPr="00BE1C9A">
        <w:rPr>
          <w:rFonts w:ascii="Times New Roman" w:eastAsia="Times New Roman" w:hAnsi="Times New Roman" w:cs="Times New Roman"/>
          <w:color w:val="000000"/>
          <w:sz w:val="20"/>
          <w:szCs w:val="20"/>
        </w:rPr>
        <w:t>Jei kelioms paraiškoms suteikiama vienoda bendra įverčių suma, aukštesnė vieta pirmumo eilėje skiriama tai paraiškai, kuri atitinka išvardytas pirmumo sąlygas iš eilės: 1) paraiškos įvertis pagal 1.</w:t>
      </w:r>
      <w:r w:rsidR="00BA01A8" w:rsidRPr="00BE1C9A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B32BF6" w:rsidRPr="00BE1C9A">
        <w:rPr>
          <w:rFonts w:ascii="Times New Roman" w:eastAsia="Times New Roman" w:hAnsi="Times New Roman" w:cs="Times New Roman"/>
          <w:color w:val="000000"/>
          <w:sz w:val="20"/>
          <w:szCs w:val="20"/>
        </w:rPr>
        <w:t>, 1.3 ir</w:t>
      </w:r>
      <w:r w:rsidR="008636B3" w:rsidRPr="00BE1C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1.</w:t>
      </w:r>
      <w:r w:rsidR="00B32BF6" w:rsidRPr="00BE1C9A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="008636B3" w:rsidRPr="00BE1C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kriterijų sumą yra didesnis, 2) paraiškos įvertis pagal 2.1 kriterijų yra didesnis, 3) paraiškos įvertis pagal </w:t>
      </w:r>
      <w:r w:rsidR="00BC4E6B" w:rsidRPr="00BE1C9A">
        <w:rPr>
          <w:rFonts w:ascii="Times New Roman" w:eastAsia="Times New Roman" w:hAnsi="Times New Roman" w:cs="Times New Roman"/>
          <w:color w:val="000000"/>
          <w:sz w:val="20"/>
          <w:szCs w:val="20"/>
        </w:rPr>
        <w:t>1.2</w:t>
      </w:r>
      <w:r w:rsidR="008636B3" w:rsidRPr="00BE1C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kriterij</w:t>
      </w:r>
      <w:r w:rsidR="00BC4E6B" w:rsidRPr="00BE1C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ų </w:t>
      </w:r>
      <w:r w:rsidR="008636B3" w:rsidRPr="00BE1C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yra didesnis, 4) paraiškos įvertis pagal </w:t>
      </w:r>
      <w:r w:rsidR="00BC4E6B" w:rsidRPr="00BE1C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1.3 </w:t>
      </w:r>
      <w:r w:rsidR="008636B3" w:rsidRPr="00BE1C9A">
        <w:rPr>
          <w:rFonts w:ascii="Times New Roman" w:eastAsia="Times New Roman" w:hAnsi="Times New Roman" w:cs="Times New Roman"/>
          <w:color w:val="000000"/>
          <w:sz w:val="20"/>
          <w:szCs w:val="20"/>
        </w:rPr>
        <w:t>kriterij</w:t>
      </w:r>
      <w:r w:rsidR="00BC4E6B" w:rsidRPr="00BE1C9A">
        <w:rPr>
          <w:rFonts w:ascii="Times New Roman" w:eastAsia="Times New Roman" w:hAnsi="Times New Roman" w:cs="Times New Roman"/>
          <w:color w:val="000000"/>
          <w:sz w:val="20"/>
          <w:szCs w:val="20"/>
        </w:rPr>
        <w:t>ų</w:t>
      </w:r>
      <w:r w:rsidR="008636B3" w:rsidRPr="00BE1C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yra didesnis</w:t>
      </w:r>
      <w:r w:rsidR="00BC4E6B" w:rsidRPr="00BE1C9A">
        <w:rPr>
          <w:rFonts w:ascii="Times New Roman" w:eastAsia="Times New Roman" w:hAnsi="Times New Roman" w:cs="Times New Roman"/>
          <w:color w:val="000000"/>
          <w:sz w:val="20"/>
          <w:szCs w:val="20"/>
        </w:rPr>
        <w:t>, 5)</w:t>
      </w:r>
      <w:r w:rsidR="008636B3" w:rsidRPr="00BE1C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C4E6B" w:rsidRPr="00BE1C9A">
        <w:rPr>
          <w:rFonts w:ascii="Times New Roman" w:eastAsia="Times New Roman" w:hAnsi="Times New Roman" w:cs="Times New Roman"/>
          <w:color w:val="000000"/>
          <w:sz w:val="20"/>
          <w:szCs w:val="20"/>
        </w:rPr>
        <w:t>paraiškos įvertis pagal 1.4 kriterijų yra didesnis.</w:t>
      </w:r>
      <w:r w:rsidR="008636B3" w:rsidRPr="00BE1C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Šios sąlygos taikomos tol, kol visos paraiškos bus išdėstytos pirmumo  tvarka. Jei šių sąlygų nepakanka, ekspertų komisija, atlikusi papildomą tokių paraiškų analizę, turi kolegialiai nustatyti paraiškos eiliškumą.</w:t>
      </w:r>
    </w:p>
    <w:p w14:paraId="3167D885" w14:textId="77777777" w:rsidR="005C5506" w:rsidRDefault="005C5506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77EA26FA" w14:textId="77777777" w:rsidR="005C5506" w:rsidRDefault="005C5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CE63BA7" w14:textId="77777777" w:rsidR="005C5506" w:rsidRDefault="007E0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II. Kitos pastabos</w:t>
      </w:r>
    </w:p>
    <w:p w14:paraId="578B7904" w14:textId="77777777" w:rsidR="005C5506" w:rsidRDefault="007E0BE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. . . . . . . . . . . . . . . . . . . . . . . . . . . . . . . . . . . . . . . . . . . . . . . . . . . . . . . . . . . . . . . . . . . . . . . . . . . . . . . . . </w:t>
      </w:r>
    </w:p>
    <w:p w14:paraId="1CAE7854" w14:textId="77777777" w:rsidR="005C5506" w:rsidRDefault="005C550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C4AFB3D" w14:textId="77777777" w:rsidR="005C5506" w:rsidRDefault="007E0BEB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III. Galutinė išvada</w:t>
      </w:r>
      <w:r>
        <w:rPr>
          <w:rFonts w:ascii="Times New Roman" w:eastAsia="Times New Roman" w:hAnsi="Times New Roman" w:cs="Times New Roman"/>
        </w:rPr>
        <w:t>:</w:t>
      </w:r>
    </w:p>
    <w:p w14:paraId="1395535E" w14:textId="77777777" w:rsidR="005C5506" w:rsidRDefault="007E0BEB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</w:rPr>
      </w:pPr>
      <w:r>
        <w:rPr>
          <w:rFonts w:ascii="Wingdings" w:eastAsia="Wingdings" w:hAnsi="Wingdings" w:cs="Wingdings"/>
          <w:color w:val="000000"/>
        </w:rPr>
        <w:t>◻</w:t>
      </w:r>
      <w:r>
        <w:rPr>
          <w:rFonts w:ascii="Times New Roman" w:eastAsia="Times New Roman" w:hAnsi="Times New Roman" w:cs="Times New Roman"/>
          <w:color w:val="000000"/>
        </w:rPr>
        <w:t>           PARAIŠKA FINANSUOTINA</w:t>
      </w:r>
    </w:p>
    <w:p w14:paraId="62ABE888" w14:textId="77777777" w:rsidR="005C5506" w:rsidRDefault="007E0BEB">
      <w:pPr>
        <w:spacing w:after="120" w:line="240" w:lineRule="auto"/>
        <w:ind w:left="567"/>
        <w:rPr>
          <w:rFonts w:ascii="Times New Roman" w:eastAsia="Times New Roman" w:hAnsi="Times New Roman" w:cs="Times New Roman"/>
          <w:color w:val="000000"/>
        </w:rPr>
      </w:pPr>
      <w:r>
        <w:rPr>
          <w:rFonts w:ascii="Wingdings" w:eastAsia="Wingdings" w:hAnsi="Wingdings" w:cs="Wingdings"/>
          <w:color w:val="000000"/>
        </w:rPr>
        <w:t>◻</w:t>
      </w:r>
      <w:r>
        <w:rPr>
          <w:rFonts w:ascii="Times New Roman" w:eastAsia="Times New Roman" w:hAnsi="Times New Roman" w:cs="Times New Roman"/>
          <w:color w:val="000000"/>
        </w:rPr>
        <w:t>           PARAIŠKA NEFINANSUOTINA</w:t>
      </w:r>
    </w:p>
    <w:p w14:paraId="780489C3" w14:textId="77777777" w:rsidR="005C5506" w:rsidRDefault="005C550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125EE4E" w14:textId="77777777" w:rsidR="005C5506" w:rsidRDefault="007E0B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Wingdings" w:eastAsia="Wingdings" w:hAnsi="Wingdings" w:cs="Wingdings"/>
          <w:color w:val="000000"/>
        </w:rPr>
        <w:t>◻</w:t>
      </w:r>
      <w:r>
        <w:rPr>
          <w:rFonts w:ascii="Times New Roman" w:eastAsia="Times New Roman" w:hAnsi="Times New Roman" w:cs="Times New Roman"/>
          <w:color w:val="000000"/>
        </w:rPr>
        <w:t>    </w:t>
      </w:r>
      <w:r>
        <w:rPr>
          <w:rFonts w:ascii="Times New Roman" w:eastAsia="Times New Roman" w:hAnsi="Times New Roman" w:cs="Times New Roman"/>
        </w:rPr>
        <w:t>Aš, čia pasirašęs ekspertas, patvirtinu, kad</w:t>
      </w:r>
      <w:r>
        <w:rPr>
          <w:rFonts w:ascii="Times New Roman" w:eastAsia="Times New Roman" w:hAnsi="Times New Roman" w:cs="Times New Roman"/>
          <w:color w:val="000000"/>
        </w:rPr>
        <w:t> šios paraiškos sėkmės ar nesėkmės atveju neturėsiu tiesioginės ar netiesioginės materialios ar nematerialios naudos</w:t>
      </w:r>
    </w:p>
    <w:p w14:paraId="073418E8" w14:textId="77777777" w:rsidR="005C5506" w:rsidRDefault="005C550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4AC2557" w14:textId="77777777" w:rsidR="005C5506" w:rsidRDefault="005C550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B216921" w14:textId="77777777" w:rsidR="005C5506" w:rsidRDefault="007E0BE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 . . . . . . . . . . . .</w:t>
      </w:r>
    </w:p>
    <w:p w14:paraId="1BCAC778" w14:textId="77777777" w:rsidR="005C5506" w:rsidRDefault="005C5506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0554" w:type="dxa"/>
        <w:tblInd w:w="-176" w:type="dxa"/>
        <w:tblLayout w:type="fixed"/>
        <w:tblLook w:val="0400" w:firstRow="0" w:lastRow="0" w:firstColumn="0" w:lastColumn="0" w:noHBand="0" w:noVBand="1"/>
      </w:tblPr>
      <w:tblGrid>
        <w:gridCol w:w="10554"/>
      </w:tblGrid>
      <w:tr w:rsidR="005C5506" w14:paraId="5D46CBFB" w14:textId="77777777">
        <w:trPr>
          <w:trHeight w:val="1215"/>
        </w:trPr>
        <w:tc>
          <w:tcPr>
            <w:tcW w:w="10554" w:type="dxa"/>
          </w:tcPr>
          <w:p w14:paraId="4D530E13" w14:textId="77777777" w:rsidR="005C5506" w:rsidRDefault="005C5506">
            <w:pPr>
              <w:widowControl w:val="0"/>
              <w:spacing w:after="0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10338" w:type="dxa"/>
              <w:tblLayout w:type="fixed"/>
              <w:tblLook w:val="0400" w:firstRow="0" w:lastRow="0" w:firstColumn="0" w:lastColumn="0" w:noHBand="0" w:noVBand="1"/>
            </w:tblPr>
            <w:tblGrid>
              <w:gridCol w:w="3719"/>
              <w:gridCol w:w="2836"/>
              <w:gridCol w:w="3783"/>
            </w:tblGrid>
            <w:tr w:rsidR="005C5506" w14:paraId="0143995B" w14:textId="77777777">
              <w:trPr>
                <w:trHeight w:val="397"/>
              </w:trPr>
              <w:tc>
                <w:tcPr>
                  <w:tcW w:w="3719" w:type="dxa"/>
                </w:tcPr>
                <w:p w14:paraId="064FD3AF" w14:textId="77777777" w:rsidR="005C5506" w:rsidRDefault="007E0BEB">
                  <w:pPr>
                    <w:spacing w:after="0" w:line="240" w:lineRule="auto"/>
                    <w:ind w:left="68" w:right="-223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Ekspertas</w:t>
                  </w:r>
                </w:p>
                <w:p w14:paraId="3F789FD0" w14:textId="77777777" w:rsidR="005C5506" w:rsidRDefault="007E0BEB">
                  <w:pPr>
                    <w:spacing w:after="0" w:line="240" w:lineRule="auto"/>
                    <w:ind w:left="68" w:right="-223"/>
                    <w:jc w:val="both"/>
                    <w:rPr>
                      <w:rFonts w:ascii="Times New Roman" w:eastAsia="Times New Roman" w:hAnsi="Times New Roman" w:cs="Times New Roman"/>
                      <w:i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>(Kai individualus įvertinimas)</w:t>
                  </w:r>
                </w:p>
              </w:tc>
              <w:tc>
                <w:tcPr>
                  <w:tcW w:w="2836" w:type="dxa"/>
                  <w:vMerge w:val="restart"/>
                  <w:vAlign w:val="center"/>
                </w:tcPr>
                <w:p w14:paraId="1197D418" w14:textId="77777777" w:rsidR="005C5506" w:rsidRDefault="007E0B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. . . . . . . . . . . . . . . . . . . . . .</w:t>
                  </w:r>
                </w:p>
                <w:p w14:paraId="08B054EB" w14:textId="77777777" w:rsidR="005C5506" w:rsidRDefault="007E0B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>(Parašas)</w:t>
                  </w:r>
                </w:p>
              </w:tc>
              <w:tc>
                <w:tcPr>
                  <w:tcW w:w="3783" w:type="dxa"/>
                  <w:vMerge w:val="restart"/>
                  <w:vAlign w:val="center"/>
                </w:tcPr>
                <w:p w14:paraId="6FB677B0" w14:textId="77777777" w:rsidR="005C5506" w:rsidRDefault="007E0B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. . . . . . . . . . . . . . . . .</w:t>
                  </w:r>
                </w:p>
                <w:p w14:paraId="461A7D3E" w14:textId="77777777" w:rsidR="005C5506" w:rsidRDefault="007E0B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>(Vardas, pavardė)</w:t>
                  </w:r>
                </w:p>
              </w:tc>
            </w:tr>
            <w:tr w:rsidR="005C5506" w14:paraId="0EBAF9DA" w14:textId="77777777">
              <w:trPr>
                <w:trHeight w:val="20"/>
              </w:trPr>
              <w:tc>
                <w:tcPr>
                  <w:tcW w:w="3719" w:type="dxa"/>
                </w:tcPr>
                <w:p w14:paraId="195EE5C4" w14:textId="77777777" w:rsidR="005C5506" w:rsidRDefault="005C5506">
                  <w:pPr>
                    <w:spacing w:after="0" w:line="240" w:lineRule="auto"/>
                    <w:ind w:left="68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836" w:type="dxa"/>
                  <w:vMerge/>
                  <w:vAlign w:val="center"/>
                </w:tcPr>
                <w:p w14:paraId="68A16266" w14:textId="77777777" w:rsidR="005C5506" w:rsidRDefault="005C5506">
                  <w:pPr>
                    <w:widowControl w:val="0"/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783" w:type="dxa"/>
                  <w:vMerge/>
                  <w:vAlign w:val="center"/>
                </w:tcPr>
                <w:p w14:paraId="1248D25D" w14:textId="77777777" w:rsidR="005C5506" w:rsidRDefault="005C5506">
                  <w:pPr>
                    <w:widowControl w:val="0"/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5C5506" w14:paraId="104CB851" w14:textId="77777777">
              <w:trPr>
                <w:trHeight w:val="397"/>
              </w:trPr>
              <w:tc>
                <w:tcPr>
                  <w:tcW w:w="3719" w:type="dxa"/>
                </w:tcPr>
                <w:p w14:paraId="360FDF49" w14:textId="77777777" w:rsidR="005C5506" w:rsidRDefault="007E0BEB">
                  <w:pPr>
                    <w:spacing w:after="0" w:line="240" w:lineRule="auto"/>
                    <w:ind w:left="68" w:right="-223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Ekspertų komisijos vadovas</w:t>
                  </w:r>
                </w:p>
                <w:p w14:paraId="19F5CB1D" w14:textId="77777777" w:rsidR="005C5506" w:rsidRDefault="007E0BEB">
                  <w:pPr>
                    <w:spacing w:after="0" w:line="240" w:lineRule="auto"/>
                    <w:ind w:left="68" w:right="-223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>(Kai apibendrinamasis įvertinimas)</w:t>
                  </w:r>
                </w:p>
              </w:tc>
              <w:tc>
                <w:tcPr>
                  <w:tcW w:w="2836" w:type="dxa"/>
                  <w:vMerge/>
                  <w:vAlign w:val="center"/>
                </w:tcPr>
                <w:p w14:paraId="057DD7FA" w14:textId="77777777" w:rsidR="005C5506" w:rsidRDefault="005C5506">
                  <w:pPr>
                    <w:widowControl w:val="0"/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783" w:type="dxa"/>
                  <w:vMerge/>
                  <w:vAlign w:val="center"/>
                </w:tcPr>
                <w:p w14:paraId="47D34D63" w14:textId="77777777" w:rsidR="005C5506" w:rsidRDefault="005C5506">
                  <w:pPr>
                    <w:widowControl w:val="0"/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6A47BDBC" w14:textId="77777777" w:rsidR="005C5506" w:rsidRDefault="005C5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0C519A" w14:textId="77777777" w:rsidR="005C5506" w:rsidRDefault="007E0BE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</w:t>
      </w:r>
    </w:p>
    <w:sectPr w:rsidR="005C5506">
      <w:pgSz w:w="11906" w:h="16838"/>
      <w:pgMar w:top="851" w:right="851" w:bottom="851" w:left="1418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SC">
    <w:charset w:val="00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autoHyphenation/>
  <w:hyphenationZone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06"/>
    <w:rsid w:val="001869B5"/>
    <w:rsid w:val="001E184F"/>
    <w:rsid w:val="002445E8"/>
    <w:rsid w:val="00271883"/>
    <w:rsid w:val="002743D7"/>
    <w:rsid w:val="002831AF"/>
    <w:rsid w:val="002900B7"/>
    <w:rsid w:val="00290ACA"/>
    <w:rsid w:val="00292E42"/>
    <w:rsid w:val="002B01D6"/>
    <w:rsid w:val="0033710D"/>
    <w:rsid w:val="003610DD"/>
    <w:rsid w:val="00522F20"/>
    <w:rsid w:val="005617D1"/>
    <w:rsid w:val="00577541"/>
    <w:rsid w:val="005C5506"/>
    <w:rsid w:val="005E69DC"/>
    <w:rsid w:val="005F557A"/>
    <w:rsid w:val="0066785D"/>
    <w:rsid w:val="006842C5"/>
    <w:rsid w:val="006866EB"/>
    <w:rsid w:val="006C712A"/>
    <w:rsid w:val="006D52EE"/>
    <w:rsid w:val="00715021"/>
    <w:rsid w:val="00732D3A"/>
    <w:rsid w:val="00756241"/>
    <w:rsid w:val="00767D19"/>
    <w:rsid w:val="00795AF8"/>
    <w:rsid w:val="007E0BEB"/>
    <w:rsid w:val="00822874"/>
    <w:rsid w:val="00843609"/>
    <w:rsid w:val="008636B3"/>
    <w:rsid w:val="008D26A3"/>
    <w:rsid w:val="008F23E3"/>
    <w:rsid w:val="008F4E52"/>
    <w:rsid w:val="00950C3B"/>
    <w:rsid w:val="009725EF"/>
    <w:rsid w:val="009C3698"/>
    <w:rsid w:val="00A82E4B"/>
    <w:rsid w:val="00AA70C8"/>
    <w:rsid w:val="00B21388"/>
    <w:rsid w:val="00B32BF6"/>
    <w:rsid w:val="00B81CBD"/>
    <w:rsid w:val="00BA01A8"/>
    <w:rsid w:val="00BC4E6B"/>
    <w:rsid w:val="00BE1C9A"/>
    <w:rsid w:val="00BE33D2"/>
    <w:rsid w:val="00BF73E9"/>
    <w:rsid w:val="00C92373"/>
    <w:rsid w:val="00DD79B5"/>
    <w:rsid w:val="00E3381E"/>
    <w:rsid w:val="00EF3240"/>
    <w:rsid w:val="00FB21AA"/>
    <w:rsid w:val="00FB4FEC"/>
    <w:rsid w:val="00FC6EEB"/>
    <w:rsid w:val="00FE0D6D"/>
    <w:rsid w:val="0105A7CB"/>
    <w:rsid w:val="019BFCDC"/>
    <w:rsid w:val="036D1353"/>
    <w:rsid w:val="03EE833D"/>
    <w:rsid w:val="040D623E"/>
    <w:rsid w:val="046469E9"/>
    <w:rsid w:val="0688489C"/>
    <w:rsid w:val="0A485A14"/>
    <w:rsid w:val="0DD0C620"/>
    <w:rsid w:val="0F1C4FD3"/>
    <w:rsid w:val="10FABAEB"/>
    <w:rsid w:val="12F4EDF6"/>
    <w:rsid w:val="150899A3"/>
    <w:rsid w:val="18A593BB"/>
    <w:rsid w:val="1E9312B6"/>
    <w:rsid w:val="2388B19A"/>
    <w:rsid w:val="2C749A01"/>
    <w:rsid w:val="2CE04D06"/>
    <w:rsid w:val="2F27C52C"/>
    <w:rsid w:val="2F29467B"/>
    <w:rsid w:val="311CCE03"/>
    <w:rsid w:val="3139E258"/>
    <w:rsid w:val="37DE01AC"/>
    <w:rsid w:val="38B68D54"/>
    <w:rsid w:val="3A012674"/>
    <w:rsid w:val="3FF34EBC"/>
    <w:rsid w:val="4171E8D6"/>
    <w:rsid w:val="4CD6BF65"/>
    <w:rsid w:val="4ED7D8DA"/>
    <w:rsid w:val="4F8FA563"/>
    <w:rsid w:val="55733612"/>
    <w:rsid w:val="558B7F40"/>
    <w:rsid w:val="593394DE"/>
    <w:rsid w:val="59BEFF5B"/>
    <w:rsid w:val="5B411717"/>
    <w:rsid w:val="5E726B89"/>
    <w:rsid w:val="60B3DDF2"/>
    <w:rsid w:val="6182AEB1"/>
    <w:rsid w:val="635DD094"/>
    <w:rsid w:val="686DD147"/>
    <w:rsid w:val="6CFDC392"/>
    <w:rsid w:val="6D4B81AA"/>
    <w:rsid w:val="7430AB4E"/>
    <w:rsid w:val="74A73E46"/>
    <w:rsid w:val="757B8EDB"/>
    <w:rsid w:val="75E48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4520B"/>
  <w15:docId w15:val="{B834E2CB-8097-2F46-A073-057D4CB2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SC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Pataisymai">
    <w:name w:val="Revision"/>
    <w:hidden/>
    <w:uiPriority w:val="99"/>
    <w:semiHidden/>
    <w:rsid w:val="005E69DC"/>
    <w:pPr>
      <w:suppressAutoHyphens w:val="0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610D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610D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610D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610D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610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3331</Words>
  <Characters>1899</Characters>
  <Application>Microsoft Office Word</Application>
  <DocSecurity>0</DocSecurity>
  <Lines>15</Lines>
  <Paragraphs>10</Paragraphs>
  <ScaleCrop>false</ScaleCrop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Kaveckas | Lietuvos mokslo taryba</dc:creator>
  <dc:description/>
  <cp:lastModifiedBy>Diana Kizalaitė | Lietuvos mokslo taryba</cp:lastModifiedBy>
  <cp:revision>4</cp:revision>
  <dcterms:created xsi:type="dcterms:W3CDTF">2026-01-19T11:36:00Z</dcterms:created>
  <dcterms:modified xsi:type="dcterms:W3CDTF">2026-01-19T11:47:00Z</dcterms:modified>
  <dc:language>en-US</dc:language>
</cp:coreProperties>
</file>