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74E74" w14:textId="77777777" w:rsidR="00C226EF" w:rsidRPr="002159C4" w:rsidRDefault="00C226EF" w:rsidP="00C226EF">
      <w:pPr>
        <w:ind w:left="5954"/>
        <w:rPr>
          <w:szCs w:val="24"/>
        </w:rPr>
      </w:pPr>
      <w:r w:rsidRPr="002159C4">
        <w:rPr>
          <w:szCs w:val="24"/>
        </w:rPr>
        <w:t>Forma patvirtinta</w:t>
      </w:r>
    </w:p>
    <w:p w14:paraId="5629902E" w14:textId="77777777" w:rsidR="00C226EF" w:rsidRPr="002159C4" w:rsidRDefault="00C226EF" w:rsidP="00C226EF">
      <w:pPr>
        <w:ind w:left="5954"/>
        <w:rPr>
          <w:szCs w:val="24"/>
        </w:rPr>
      </w:pPr>
      <w:r w:rsidRPr="002159C4">
        <w:rPr>
          <w:szCs w:val="24"/>
        </w:rPr>
        <w:t xml:space="preserve">Lietuvos mokslo tarybos pirmininko </w:t>
      </w:r>
    </w:p>
    <w:p w14:paraId="138D1EF6" w14:textId="39C010B3" w:rsidR="00C226EF" w:rsidRDefault="00C226EF" w:rsidP="00C226EF">
      <w:pPr>
        <w:ind w:left="5954"/>
        <w:rPr>
          <w:szCs w:val="24"/>
        </w:rPr>
      </w:pPr>
      <w:r w:rsidRPr="002159C4">
        <w:rPr>
          <w:szCs w:val="24"/>
        </w:rPr>
        <w:t>20</w:t>
      </w:r>
      <w:r>
        <w:rPr>
          <w:szCs w:val="24"/>
        </w:rPr>
        <w:t>2</w:t>
      </w:r>
      <w:r w:rsidR="007F6503">
        <w:rPr>
          <w:szCs w:val="24"/>
        </w:rPr>
        <w:t xml:space="preserve">4 </w:t>
      </w:r>
      <w:r w:rsidRPr="002159C4">
        <w:rPr>
          <w:szCs w:val="24"/>
        </w:rPr>
        <w:t>m.</w:t>
      </w:r>
      <w:r w:rsidR="007F6503">
        <w:rPr>
          <w:szCs w:val="24"/>
        </w:rPr>
        <w:t xml:space="preserve"> rugpjūčio </w:t>
      </w:r>
      <w:r w:rsidR="007F6503">
        <w:rPr>
          <w:szCs w:val="24"/>
          <w:lang w:val="en-US"/>
        </w:rPr>
        <w:t xml:space="preserve">27 </w:t>
      </w:r>
      <w:r w:rsidRPr="002159C4">
        <w:rPr>
          <w:szCs w:val="24"/>
        </w:rPr>
        <w:t>d. įsakymu Nr. V-</w:t>
      </w:r>
      <w:r w:rsidR="007F6503">
        <w:rPr>
          <w:szCs w:val="24"/>
        </w:rPr>
        <w:t>381</w:t>
      </w:r>
    </w:p>
    <w:p w14:paraId="41365A60" w14:textId="77777777" w:rsidR="007F6503" w:rsidRPr="002159C4" w:rsidRDefault="007F6503" w:rsidP="007F6503">
      <w:pPr>
        <w:ind w:left="5954"/>
        <w:rPr>
          <w:szCs w:val="24"/>
        </w:rPr>
      </w:pPr>
      <w:r>
        <w:rPr>
          <w:szCs w:val="24"/>
        </w:rPr>
        <w:t>(</w:t>
      </w:r>
      <w:r w:rsidRPr="002159C4">
        <w:rPr>
          <w:szCs w:val="24"/>
        </w:rPr>
        <w:t xml:space="preserve">Lietuvos mokslo tarybos pirmininko </w:t>
      </w:r>
    </w:p>
    <w:p w14:paraId="5D35DED4" w14:textId="39284982" w:rsidR="007F6503" w:rsidRDefault="007F6503" w:rsidP="007F6503">
      <w:pPr>
        <w:ind w:left="5954"/>
        <w:rPr>
          <w:szCs w:val="24"/>
        </w:rPr>
      </w:pPr>
      <w:r w:rsidRPr="002159C4">
        <w:rPr>
          <w:szCs w:val="24"/>
        </w:rPr>
        <w:t>20</w:t>
      </w:r>
      <w:r>
        <w:rPr>
          <w:szCs w:val="24"/>
        </w:rPr>
        <w:t xml:space="preserve">26 </w:t>
      </w:r>
      <w:r w:rsidRPr="002159C4">
        <w:rPr>
          <w:szCs w:val="24"/>
        </w:rPr>
        <w:t>m.</w:t>
      </w:r>
      <w:r w:rsidR="002551CF">
        <w:rPr>
          <w:szCs w:val="24"/>
        </w:rPr>
        <w:t xml:space="preserve"> kovo 18 </w:t>
      </w:r>
      <w:r w:rsidRPr="002159C4">
        <w:rPr>
          <w:szCs w:val="24"/>
        </w:rPr>
        <w:t>d. įsakym</w:t>
      </w:r>
      <w:r>
        <w:rPr>
          <w:szCs w:val="24"/>
        </w:rPr>
        <w:t xml:space="preserve">o </w:t>
      </w:r>
      <w:r w:rsidRPr="002159C4">
        <w:rPr>
          <w:szCs w:val="24"/>
        </w:rPr>
        <w:t>Nr. V-</w:t>
      </w:r>
      <w:r w:rsidR="00A63092">
        <w:rPr>
          <w:szCs w:val="24"/>
        </w:rPr>
        <w:t>147</w:t>
      </w:r>
    </w:p>
    <w:p w14:paraId="32B6ECB5" w14:textId="1896CC1A" w:rsidR="007F6503" w:rsidRDefault="007F6503" w:rsidP="007F6503">
      <w:pPr>
        <w:ind w:left="5954"/>
        <w:rPr>
          <w:szCs w:val="24"/>
        </w:rPr>
      </w:pPr>
      <w:r>
        <w:rPr>
          <w:szCs w:val="24"/>
        </w:rPr>
        <w:t>redakcija)</w:t>
      </w:r>
    </w:p>
    <w:p w14:paraId="183E2862" w14:textId="77777777" w:rsidR="007F6503" w:rsidRDefault="007F6503" w:rsidP="00C226EF">
      <w:pPr>
        <w:jc w:val="center"/>
        <w:rPr>
          <w:szCs w:val="24"/>
        </w:rPr>
      </w:pPr>
    </w:p>
    <w:p w14:paraId="45C2A8A3" w14:textId="7BE195D6" w:rsidR="00C226EF" w:rsidRPr="003C727C" w:rsidRDefault="00C226EF" w:rsidP="00C226EF">
      <w:pPr>
        <w:jc w:val="center"/>
        <w:rPr>
          <w:b/>
          <w:szCs w:val="24"/>
        </w:rPr>
      </w:pPr>
      <w:r w:rsidRPr="002159C4">
        <w:rPr>
          <w:b/>
          <w:szCs w:val="24"/>
        </w:rPr>
        <w:t>(Para</w:t>
      </w:r>
      <w:r>
        <w:rPr>
          <w:b/>
          <w:szCs w:val="24"/>
        </w:rPr>
        <w:t xml:space="preserve">iškos gauti </w:t>
      </w:r>
      <w:r w:rsidRPr="003C727C">
        <w:rPr>
          <w:b/>
          <w:szCs w:val="24"/>
        </w:rPr>
        <w:t xml:space="preserve">lėšų </w:t>
      </w:r>
      <w:r>
        <w:rPr>
          <w:b/>
          <w:szCs w:val="24"/>
        </w:rPr>
        <w:t xml:space="preserve">projektui </w:t>
      </w:r>
      <w:r w:rsidRPr="003C727C">
        <w:rPr>
          <w:b/>
          <w:szCs w:val="24"/>
        </w:rPr>
        <w:t>mokslo renginiui organizuoti ekspertinio įvertinimo forma)</w:t>
      </w:r>
    </w:p>
    <w:p w14:paraId="57CC48C2" w14:textId="77777777" w:rsidR="00C226EF" w:rsidRPr="003C727C" w:rsidRDefault="00C226EF" w:rsidP="00C226EF">
      <w:pPr>
        <w:jc w:val="center"/>
        <w:rPr>
          <w:b/>
          <w:caps/>
          <w:szCs w:val="24"/>
        </w:rPr>
      </w:pPr>
    </w:p>
    <w:p w14:paraId="5310289F" w14:textId="77777777" w:rsidR="00C226EF" w:rsidRPr="003C727C" w:rsidRDefault="00C226EF" w:rsidP="00C226EF">
      <w:pPr>
        <w:jc w:val="center"/>
        <w:rPr>
          <w:b/>
          <w:caps/>
          <w:szCs w:val="24"/>
        </w:rPr>
      </w:pPr>
      <w:r w:rsidRPr="003C727C">
        <w:rPr>
          <w:b/>
          <w:caps/>
          <w:szCs w:val="24"/>
        </w:rPr>
        <w:t xml:space="preserve">parAIŠKOS GAUTI LĖŠŲ </w:t>
      </w:r>
      <w:r>
        <w:rPr>
          <w:b/>
          <w:caps/>
          <w:szCs w:val="24"/>
        </w:rPr>
        <w:t xml:space="preserve">PrOJEKTUI </w:t>
      </w:r>
      <w:r w:rsidRPr="003C727C">
        <w:rPr>
          <w:b/>
          <w:caps/>
          <w:szCs w:val="24"/>
        </w:rPr>
        <w:t>mokslo renginiui ORGANIZUOTI EKSPERTINIS ĮvertinimAS</w:t>
      </w:r>
    </w:p>
    <w:p w14:paraId="2DF3360D" w14:textId="77777777" w:rsidR="00C226EF" w:rsidRPr="003C727C" w:rsidRDefault="00C226EF" w:rsidP="00C226EF">
      <w:pPr>
        <w:rPr>
          <w:szCs w:val="24"/>
        </w:rPr>
      </w:pPr>
    </w:p>
    <w:p w14:paraId="666D65D7" w14:textId="77777777" w:rsidR="00C226EF" w:rsidRPr="003C727C" w:rsidRDefault="00C226EF" w:rsidP="00C226EF">
      <w:pPr>
        <w:rPr>
          <w:szCs w:val="24"/>
          <w:lang w:eastAsia="x-none"/>
        </w:rPr>
      </w:pPr>
      <w:r w:rsidRPr="003C727C">
        <w:rPr>
          <w:szCs w:val="24"/>
          <w:lang w:eastAsia="x-none"/>
        </w:rPr>
        <w:t xml:space="preserve">Paraiškos registracijos numeris . . . . . . . . . . . . . . . . . . . . . . . . . . . . . . . . . . . . . . . . . . . . . . . . . . . . . . . </w:t>
      </w:r>
    </w:p>
    <w:p w14:paraId="0DE8D023" w14:textId="77777777" w:rsidR="00C226EF" w:rsidRDefault="00C226EF" w:rsidP="00C226EF">
      <w:pPr>
        <w:rPr>
          <w:szCs w:val="24"/>
          <w:lang w:eastAsia="x-none"/>
        </w:rPr>
      </w:pPr>
      <w:r w:rsidRPr="003C727C">
        <w:rPr>
          <w:szCs w:val="24"/>
          <w:lang w:eastAsia="x-none"/>
        </w:rPr>
        <w:t xml:space="preserve">Renginio pavadinimas . . . . . . . . . . . . . . . . . . . . . . . . . . . . . . . . . . . . . . . . . . . . . . . . . . . . . . . . . . . . . . </w:t>
      </w:r>
    </w:p>
    <w:p w14:paraId="378578D3" w14:textId="77777777" w:rsidR="00C226EF" w:rsidRPr="003C727C" w:rsidRDefault="00C226EF" w:rsidP="00C226EF">
      <w:pPr>
        <w:rPr>
          <w:szCs w:val="24"/>
          <w:lang w:eastAsia="x-none"/>
        </w:rPr>
      </w:pPr>
      <w:r>
        <w:rPr>
          <w:szCs w:val="24"/>
          <w:lang w:eastAsia="x-none"/>
        </w:rPr>
        <w:t xml:space="preserve">Vykdančioji institucija </w:t>
      </w:r>
      <w:r w:rsidRPr="003C727C">
        <w:rPr>
          <w:szCs w:val="24"/>
          <w:lang w:eastAsia="x-none"/>
        </w:rPr>
        <w:t>. . . . . . . . . . . . . . . . . . . . . . . . . . . . . . . . . . . . . . . . . . . . . . . . . . . . . . . . . . . . .</w:t>
      </w:r>
      <w:r w:rsidRPr="00BE62BA">
        <w:rPr>
          <w:szCs w:val="24"/>
          <w:lang w:eastAsia="x-none"/>
        </w:rPr>
        <w:t xml:space="preserve"> </w:t>
      </w:r>
      <w:r w:rsidRPr="003C727C">
        <w:rPr>
          <w:szCs w:val="24"/>
          <w:lang w:eastAsia="x-none"/>
        </w:rPr>
        <w:t>.</w:t>
      </w:r>
    </w:p>
    <w:p w14:paraId="167913A4" w14:textId="77777777" w:rsidR="00C226EF" w:rsidRPr="003C727C" w:rsidRDefault="00C226EF" w:rsidP="00C226EF">
      <w:pPr>
        <w:rPr>
          <w:b/>
          <w:szCs w:val="24"/>
          <w:lang w:eastAsia="x-none"/>
        </w:rPr>
      </w:pPr>
    </w:p>
    <w:p w14:paraId="3DF33E04" w14:textId="77777777" w:rsidR="00C226EF" w:rsidRPr="003C727C" w:rsidRDefault="00C226EF" w:rsidP="00C226EF">
      <w:pPr>
        <w:rPr>
          <w:b/>
          <w:szCs w:val="24"/>
          <w:lang w:eastAsia="x-none"/>
        </w:rPr>
      </w:pPr>
      <w:r w:rsidRPr="003C727C">
        <w:rPr>
          <w:b/>
          <w:szCs w:val="24"/>
          <w:lang w:eastAsia="x-none"/>
        </w:rPr>
        <w:t>I. Įvertinimas pagal kriterijus:</w:t>
      </w: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1890"/>
        <w:gridCol w:w="1350"/>
        <w:gridCol w:w="1710"/>
      </w:tblGrid>
      <w:tr w:rsidR="00C226EF" w:rsidRPr="003C727C" w14:paraId="65E98B09" w14:textId="77777777" w:rsidTr="00CE4DF1">
        <w:trPr>
          <w:tblHeader/>
          <w:jc w:val="center"/>
        </w:trPr>
        <w:tc>
          <w:tcPr>
            <w:tcW w:w="5035" w:type="dxa"/>
            <w:tcBorders>
              <w:top w:val="single" w:sz="4" w:space="0" w:color="auto"/>
              <w:left w:val="single" w:sz="4" w:space="0" w:color="auto"/>
              <w:bottom w:val="single" w:sz="4" w:space="0" w:color="auto"/>
              <w:right w:val="single" w:sz="4" w:space="0" w:color="auto"/>
            </w:tcBorders>
            <w:hideMark/>
          </w:tcPr>
          <w:p w14:paraId="379EE536" w14:textId="77777777" w:rsidR="00C226EF" w:rsidRPr="003C727C" w:rsidRDefault="00C226EF" w:rsidP="00CE4DF1">
            <w:pPr>
              <w:rPr>
                <w:rFonts w:eastAsia="Calibri"/>
                <w:szCs w:val="24"/>
              </w:rPr>
            </w:pPr>
            <w:r w:rsidRPr="003C727C">
              <w:rPr>
                <w:rFonts w:eastAsia="Calibri"/>
                <w:szCs w:val="24"/>
              </w:rPr>
              <w:t>Vertinimo kriterijus</w:t>
            </w:r>
            <w:r w:rsidRPr="003C727C">
              <w:rPr>
                <w:rFonts w:eastAsia="Calibri"/>
                <w:szCs w:val="24"/>
                <w:vertAlign w:val="superscript"/>
              </w:rPr>
              <w:t>1</w:t>
            </w:r>
          </w:p>
        </w:tc>
        <w:tc>
          <w:tcPr>
            <w:tcW w:w="1890" w:type="dxa"/>
            <w:tcBorders>
              <w:top w:val="single" w:sz="4" w:space="0" w:color="auto"/>
              <w:left w:val="single" w:sz="4" w:space="0" w:color="auto"/>
              <w:bottom w:val="single" w:sz="4" w:space="0" w:color="auto"/>
              <w:right w:val="single" w:sz="4" w:space="0" w:color="auto"/>
            </w:tcBorders>
            <w:hideMark/>
          </w:tcPr>
          <w:p w14:paraId="65CC2693" w14:textId="77777777" w:rsidR="00C226EF" w:rsidRPr="003C727C" w:rsidRDefault="00C226EF" w:rsidP="00CE4DF1">
            <w:pPr>
              <w:rPr>
                <w:rFonts w:eastAsia="Calibri"/>
                <w:szCs w:val="24"/>
              </w:rPr>
            </w:pPr>
            <w:r w:rsidRPr="003C727C">
              <w:rPr>
                <w:rFonts w:eastAsia="Calibri"/>
                <w:szCs w:val="24"/>
              </w:rPr>
              <w:t>Galimos įverčio reikšmės</w:t>
            </w:r>
          </w:p>
        </w:tc>
        <w:tc>
          <w:tcPr>
            <w:tcW w:w="1350" w:type="dxa"/>
            <w:tcBorders>
              <w:top w:val="single" w:sz="4" w:space="0" w:color="auto"/>
              <w:left w:val="single" w:sz="4" w:space="0" w:color="auto"/>
              <w:bottom w:val="single" w:sz="4" w:space="0" w:color="auto"/>
              <w:right w:val="single" w:sz="4" w:space="0" w:color="auto"/>
            </w:tcBorders>
          </w:tcPr>
          <w:p w14:paraId="63F0CD10" w14:textId="77777777" w:rsidR="00C226EF" w:rsidRPr="003C727C" w:rsidRDefault="00C226EF" w:rsidP="00CE4DF1">
            <w:pPr>
              <w:rPr>
                <w:rFonts w:eastAsia="Calibri"/>
                <w:szCs w:val="24"/>
              </w:rPr>
            </w:pPr>
            <w:r w:rsidRPr="003C727C">
              <w:rPr>
                <w:rFonts w:eastAsia="Calibri"/>
                <w:szCs w:val="24"/>
              </w:rPr>
              <w:t>Skiriamas įvertinimas</w:t>
            </w:r>
          </w:p>
        </w:tc>
        <w:tc>
          <w:tcPr>
            <w:tcW w:w="1710" w:type="dxa"/>
            <w:tcBorders>
              <w:top w:val="single" w:sz="4" w:space="0" w:color="auto"/>
              <w:left w:val="single" w:sz="4" w:space="0" w:color="auto"/>
              <w:bottom w:val="single" w:sz="4" w:space="0" w:color="auto"/>
              <w:right w:val="single" w:sz="4" w:space="0" w:color="auto"/>
            </w:tcBorders>
            <w:hideMark/>
          </w:tcPr>
          <w:p w14:paraId="27F7BBBA" w14:textId="77777777" w:rsidR="00C226EF" w:rsidRPr="003C727C" w:rsidRDefault="00C226EF" w:rsidP="00CE4DF1">
            <w:pPr>
              <w:rPr>
                <w:rFonts w:eastAsia="Calibri"/>
                <w:szCs w:val="24"/>
              </w:rPr>
            </w:pPr>
            <w:r w:rsidRPr="003C727C">
              <w:rPr>
                <w:rFonts w:eastAsia="Calibri"/>
                <w:szCs w:val="24"/>
              </w:rPr>
              <w:t xml:space="preserve">Įvertinimo paaiškinimas </w:t>
            </w:r>
            <w:r w:rsidRPr="003C727C">
              <w:rPr>
                <w:rFonts w:eastAsia="Calibri"/>
                <w:i/>
                <w:szCs w:val="24"/>
              </w:rPr>
              <w:t>(privalomas pagal visus kiekvieno kriterijaus vertinamuosius aspektus)</w:t>
            </w:r>
          </w:p>
        </w:tc>
      </w:tr>
      <w:tr w:rsidR="00C226EF" w:rsidRPr="003C727C" w14:paraId="215765B6" w14:textId="77777777" w:rsidTr="00CE4DF1">
        <w:trPr>
          <w:tblHeader/>
          <w:jc w:val="center"/>
        </w:trPr>
        <w:tc>
          <w:tcPr>
            <w:tcW w:w="5035" w:type="dxa"/>
            <w:tcBorders>
              <w:top w:val="single" w:sz="4" w:space="0" w:color="auto"/>
              <w:left w:val="single" w:sz="4" w:space="0" w:color="auto"/>
              <w:bottom w:val="single" w:sz="4" w:space="0" w:color="auto"/>
              <w:right w:val="single" w:sz="4" w:space="0" w:color="auto"/>
            </w:tcBorders>
            <w:hideMark/>
          </w:tcPr>
          <w:p w14:paraId="4B87C883" w14:textId="77777777" w:rsidR="00C226EF" w:rsidRPr="003C727C" w:rsidRDefault="00C226EF" w:rsidP="00CE4DF1">
            <w:pPr>
              <w:rPr>
                <w:rFonts w:eastAsia="Calibri"/>
                <w:szCs w:val="24"/>
              </w:rPr>
            </w:pPr>
            <w:r w:rsidRPr="003C727C">
              <w:rPr>
                <w:rFonts w:eastAsia="Calibri"/>
                <w:szCs w:val="24"/>
              </w:rPr>
              <w:t>1. Renginio aktualumas mokslo raidai</w:t>
            </w:r>
          </w:p>
          <w:p w14:paraId="3324272D" w14:textId="77777777" w:rsidR="00C226EF" w:rsidRPr="003C727C" w:rsidRDefault="00C226EF" w:rsidP="00CE4DF1">
            <w:pPr>
              <w:rPr>
                <w:rFonts w:eastAsia="Calibri"/>
                <w:i/>
                <w:iCs/>
                <w:szCs w:val="24"/>
              </w:rPr>
            </w:pPr>
            <w:r w:rsidRPr="003C727C">
              <w:rPr>
                <w:rFonts w:eastAsia="Calibri"/>
                <w:i/>
                <w:iCs/>
                <w:szCs w:val="24"/>
              </w:rPr>
              <w:t>(vertinama, ar renginio aktualumas yra išsamiai pagrįstas, ar jame bus skleidžiamos naujausios mokslinės idėjos, jei renginys organizuojamas ne pirmą kartą – ar renginys nėra praradęs aktualumo)</w:t>
            </w:r>
          </w:p>
        </w:tc>
        <w:tc>
          <w:tcPr>
            <w:tcW w:w="1890" w:type="dxa"/>
            <w:tcBorders>
              <w:top w:val="single" w:sz="4" w:space="0" w:color="auto"/>
              <w:left w:val="single" w:sz="4" w:space="0" w:color="auto"/>
              <w:bottom w:val="single" w:sz="4" w:space="0" w:color="auto"/>
              <w:right w:val="single" w:sz="4" w:space="0" w:color="auto"/>
            </w:tcBorders>
            <w:hideMark/>
          </w:tcPr>
          <w:p w14:paraId="0CFFBE2C" w14:textId="77777777" w:rsidR="00C226EF" w:rsidRPr="003C727C" w:rsidRDefault="00C226EF" w:rsidP="00CE4DF1">
            <w:pPr>
              <w:rPr>
                <w:rFonts w:eastAsia="Calibri"/>
                <w:szCs w:val="24"/>
              </w:rPr>
            </w:pPr>
            <w:r w:rsidRPr="003C727C">
              <w:rPr>
                <w:rFonts w:eastAsia="Calibri"/>
                <w:szCs w:val="24"/>
              </w:rPr>
              <w:t>Aktualus/</w:t>
            </w:r>
          </w:p>
          <w:p w14:paraId="4A2F42C6" w14:textId="77777777" w:rsidR="00C226EF" w:rsidRPr="003C727C" w:rsidRDefault="00C226EF" w:rsidP="00CE4DF1">
            <w:pPr>
              <w:rPr>
                <w:rFonts w:eastAsia="Calibri"/>
                <w:szCs w:val="24"/>
              </w:rPr>
            </w:pPr>
            <w:r w:rsidRPr="003C727C">
              <w:rPr>
                <w:rFonts w:eastAsia="Calibri"/>
                <w:szCs w:val="24"/>
              </w:rPr>
              <w:t>Aktualumas vidutiniškas/</w:t>
            </w:r>
          </w:p>
          <w:p w14:paraId="122186E4" w14:textId="77777777" w:rsidR="00C226EF" w:rsidRPr="003C727C" w:rsidRDefault="00C226EF" w:rsidP="00CE4DF1">
            <w:pPr>
              <w:rPr>
                <w:rFonts w:eastAsia="Calibri"/>
                <w:szCs w:val="24"/>
              </w:rPr>
            </w:pPr>
            <w:r w:rsidRPr="003C727C">
              <w:rPr>
                <w:rFonts w:eastAsia="Calibri"/>
                <w:szCs w:val="24"/>
              </w:rPr>
              <w:t>Neaktualus</w:t>
            </w:r>
          </w:p>
        </w:tc>
        <w:tc>
          <w:tcPr>
            <w:tcW w:w="1350" w:type="dxa"/>
            <w:tcBorders>
              <w:top w:val="single" w:sz="4" w:space="0" w:color="auto"/>
              <w:left w:val="single" w:sz="4" w:space="0" w:color="auto"/>
              <w:bottom w:val="single" w:sz="4" w:space="0" w:color="auto"/>
              <w:right w:val="single" w:sz="4" w:space="0" w:color="auto"/>
            </w:tcBorders>
          </w:tcPr>
          <w:p w14:paraId="2B408DF4" w14:textId="77777777" w:rsidR="00C226EF" w:rsidRPr="003C727C" w:rsidRDefault="00C226EF" w:rsidP="00CE4DF1">
            <w:pPr>
              <w:rPr>
                <w:rFonts w:eastAsia="Calibri"/>
                <w:szCs w:val="24"/>
              </w:rPr>
            </w:pPr>
          </w:p>
        </w:tc>
        <w:tc>
          <w:tcPr>
            <w:tcW w:w="1710" w:type="dxa"/>
            <w:tcBorders>
              <w:top w:val="single" w:sz="4" w:space="0" w:color="auto"/>
              <w:left w:val="single" w:sz="4" w:space="0" w:color="auto"/>
              <w:bottom w:val="single" w:sz="4" w:space="0" w:color="auto"/>
              <w:right w:val="single" w:sz="4" w:space="0" w:color="auto"/>
            </w:tcBorders>
          </w:tcPr>
          <w:p w14:paraId="66929B29" w14:textId="77777777" w:rsidR="00C226EF" w:rsidRPr="003C727C" w:rsidRDefault="00C226EF" w:rsidP="00CE4DF1">
            <w:pPr>
              <w:rPr>
                <w:rFonts w:eastAsia="Calibri"/>
                <w:szCs w:val="24"/>
              </w:rPr>
            </w:pPr>
          </w:p>
        </w:tc>
      </w:tr>
      <w:tr w:rsidR="00C226EF" w:rsidRPr="003C727C" w14:paraId="54B478F6" w14:textId="77777777" w:rsidTr="00CE4DF1">
        <w:trPr>
          <w:tblHeader/>
          <w:jc w:val="center"/>
        </w:trPr>
        <w:tc>
          <w:tcPr>
            <w:tcW w:w="5035" w:type="dxa"/>
            <w:tcBorders>
              <w:top w:val="single" w:sz="4" w:space="0" w:color="auto"/>
              <w:left w:val="single" w:sz="4" w:space="0" w:color="auto"/>
              <w:bottom w:val="single" w:sz="4" w:space="0" w:color="auto"/>
              <w:right w:val="single" w:sz="4" w:space="0" w:color="auto"/>
            </w:tcBorders>
            <w:vAlign w:val="center"/>
            <w:hideMark/>
          </w:tcPr>
          <w:p w14:paraId="30E5CD96" w14:textId="77777777" w:rsidR="00C226EF" w:rsidRPr="003C727C" w:rsidRDefault="00C226EF" w:rsidP="00CE4DF1">
            <w:pPr>
              <w:rPr>
                <w:rFonts w:eastAsia="Calibri"/>
                <w:szCs w:val="24"/>
              </w:rPr>
            </w:pPr>
            <w:r w:rsidRPr="003C727C">
              <w:rPr>
                <w:rFonts w:eastAsia="Calibri"/>
                <w:szCs w:val="24"/>
              </w:rPr>
              <w:t xml:space="preserve">2. Renginio reikšmė Lietuvos tarptautinių mokslinių ryšių plėtotei </w:t>
            </w:r>
            <w:r w:rsidRPr="003C727C">
              <w:rPr>
                <w:rFonts w:eastAsia="Calibri"/>
                <w:i/>
                <w:iCs/>
                <w:szCs w:val="24"/>
              </w:rPr>
              <w:t>(vertinama, ar renginio programa yra visapusiška renginio tikslui įgyvendinti, ar kviestiniai pranešėjai yra žinomi, pripažinti kaip lyderiaujantys renginio tematikos srityje, ar renginys padės pritraukti mokslo tinklų, kuriuose dalyvauja renginio organizatoriai, dalyvių, ar renginys turės platesnę nei lokalią reikšmę; jei renginys organizuojamas pirmą kartą, ar jo organizacinio komiteto narių žinomumas, mokslinė kompetencija ir patirtis organizuojant kitus panašaus pobūdžio renginius, sudaro prielaidas išvystyti mokslinius ryšius renginio tematikoje)</w:t>
            </w:r>
          </w:p>
        </w:tc>
        <w:tc>
          <w:tcPr>
            <w:tcW w:w="1890" w:type="dxa"/>
            <w:tcBorders>
              <w:top w:val="single" w:sz="4" w:space="0" w:color="auto"/>
              <w:left w:val="single" w:sz="4" w:space="0" w:color="auto"/>
              <w:bottom w:val="single" w:sz="4" w:space="0" w:color="auto"/>
              <w:right w:val="single" w:sz="4" w:space="0" w:color="auto"/>
            </w:tcBorders>
            <w:hideMark/>
          </w:tcPr>
          <w:p w14:paraId="7B0CBE7E" w14:textId="77777777" w:rsidR="00C226EF" w:rsidRPr="003C727C" w:rsidRDefault="00C226EF" w:rsidP="00CE4DF1">
            <w:pPr>
              <w:rPr>
                <w:rFonts w:eastAsia="Calibri"/>
                <w:szCs w:val="24"/>
              </w:rPr>
            </w:pPr>
            <w:r w:rsidRPr="003C727C">
              <w:rPr>
                <w:rFonts w:eastAsia="Calibri"/>
                <w:szCs w:val="24"/>
              </w:rPr>
              <w:t>Reikšmingas/</w:t>
            </w:r>
          </w:p>
          <w:p w14:paraId="32F4E129" w14:textId="77777777" w:rsidR="00C226EF" w:rsidRPr="003C727C" w:rsidRDefault="00C226EF" w:rsidP="00CE4DF1">
            <w:pPr>
              <w:rPr>
                <w:rFonts w:eastAsia="Calibri"/>
                <w:szCs w:val="24"/>
              </w:rPr>
            </w:pPr>
            <w:r w:rsidRPr="003C727C">
              <w:rPr>
                <w:rFonts w:eastAsia="Calibri"/>
                <w:szCs w:val="24"/>
              </w:rPr>
              <w:t>Vidutinės reikšmės/</w:t>
            </w:r>
          </w:p>
          <w:p w14:paraId="776E9F42" w14:textId="77777777" w:rsidR="00C226EF" w:rsidRPr="003C727C" w:rsidRDefault="00C226EF" w:rsidP="00CE4DF1">
            <w:pPr>
              <w:rPr>
                <w:rFonts w:eastAsia="Calibri"/>
                <w:szCs w:val="24"/>
              </w:rPr>
            </w:pPr>
            <w:r w:rsidRPr="003C727C">
              <w:rPr>
                <w:rFonts w:eastAsia="Calibri"/>
                <w:szCs w:val="24"/>
              </w:rPr>
              <w:t>Reikšmė nedidelė</w:t>
            </w:r>
          </w:p>
        </w:tc>
        <w:tc>
          <w:tcPr>
            <w:tcW w:w="1350" w:type="dxa"/>
            <w:tcBorders>
              <w:top w:val="single" w:sz="4" w:space="0" w:color="auto"/>
              <w:left w:val="single" w:sz="4" w:space="0" w:color="auto"/>
              <w:bottom w:val="single" w:sz="4" w:space="0" w:color="auto"/>
              <w:right w:val="single" w:sz="4" w:space="0" w:color="auto"/>
            </w:tcBorders>
          </w:tcPr>
          <w:p w14:paraId="69E09E1C" w14:textId="77777777" w:rsidR="00C226EF" w:rsidRPr="003C727C" w:rsidRDefault="00C226EF" w:rsidP="00CE4DF1">
            <w:pPr>
              <w:rPr>
                <w:rFonts w:eastAsia="Calibri"/>
                <w:szCs w:val="24"/>
              </w:rPr>
            </w:pPr>
          </w:p>
        </w:tc>
        <w:tc>
          <w:tcPr>
            <w:tcW w:w="1710" w:type="dxa"/>
            <w:tcBorders>
              <w:top w:val="single" w:sz="4" w:space="0" w:color="auto"/>
              <w:left w:val="single" w:sz="4" w:space="0" w:color="auto"/>
              <w:bottom w:val="single" w:sz="4" w:space="0" w:color="auto"/>
              <w:right w:val="single" w:sz="4" w:space="0" w:color="auto"/>
            </w:tcBorders>
          </w:tcPr>
          <w:p w14:paraId="691E912E" w14:textId="77777777" w:rsidR="00C226EF" w:rsidRPr="003C727C" w:rsidRDefault="00C226EF" w:rsidP="00CE4DF1">
            <w:pPr>
              <w:rPr>
                <w:rFonts w:eastAsia="Calibri"/>
                <w:szCs w:val="24"/>
              </w:rPr>
            </w:pPr>
          </w:p>
        </w:tc>
      </w:tr>
    </w:tbl>
    <w:p w14:paraId="2A915ABF" w14:textId="77777777" w:rsidR="00C226EF" w:rsidRPr="003C727C" w:rsidRDefault="00C226EF" w:rsidP="00C226EF">
      <w:pPr>
        <w:jc w:val="both"/>
        <w:rPr>
          <w:rFonts w:eastAsia="Calibri"/>
          <w:szCs w:val="24"/>
        </w:rPr>
      </w:pPr>
    </w:p>
    <w:p w14:paraId="25532203" w14:textId="77777777" w:rsidR="00C226EF" w:rsidRPr="003C727C" w:rsidRDefault="00C226EF" w:rsidP="00C226EF">
      <w:pPr>
        <w:jc w:val="both"/>
        <w:rPr>
          <w:rFonts w:eastAsia="Calibri"/>
          <w:b/>
          <w:szCs w:val="24"/>
        </w:rPr>
      </w:pPr>
      <w:r w:rsidRPr="003C727C">
        <w:rPr>
          <w:rFonts w:eastAsia="Calibri"/>
          <w:b/>
          <w:szCs w:val="24"/>
        </w:rPr>
        <w:t>II. Ar išlaidų sąmata yra tinkamai suplanuota renginio tikslams pasiekti, ar lėšas numatoma naudoti efektyviai ir racionaliai?</w:t>
      </w:r>
    </w:p>
    <w:tbl>
      <w:tblPr>
        <w:tblW w:w="9071" w:type="dxa"/>
        <w:jc w:val="center"/>
        <w:tblLook w:val="01E0" w:firstRow="1" w:lastRow="1" w:firstColumn="1" w:lastColumn="1" w:noHBand="0" w:noVBand="0"/>
      </w:tblPr>
      <w:tblGrid>
        <w:gridCol w:w="3005"/>
        <w:gridCol w:w="3005"/>
        <w:gridCol w:w="3061"/>
      </w:tblGrid>
      <w:tr w:rsidR="00C226EF" w:rsidRPr="003C727C" w14:paraId="54978047" w14:textId="77777777" w:rsidTr="00CE4DF1">
        <w:trPr>
          <w:trHeight w:val="397"/>
          <w:jc w:val="center"/>
        </w:trPr>
        <w:tc>
          <w:tcPr>
            <w:tcW w:w="3005" w:type="dxa"/>
            <w:vAlign w:val="center"/>
            <w:hideMark/>
          </w:tcPr>
          <w:p w14:paraId="014C91A7" w14:textId="77777777" w:rsidR="00C226EF" w:rsidRPr="003C727C" w:rsidRDefault="00C226EF" w:rsidP="00CE4DF1">
            <w:pPr>
              <w:rPr>
                <w:rFonts w:eastAsia="Calibri"/>
                <w:szCs w:val="24"/>
              </w:rPr>
            </w:pPr>
            <w:r w:rsidRPr="003C727C">
              <w:rPr>
                <w:rFonts w:ascii="Calibri" w:eastAsia="Calibri" w:hAnsi="Calibri"/>
                <w:sz w:val="22"/>
                <w:szCs w:val="22"/>
                <w:lang w:val="en-US"/>
              </w:rPr>
              <w:lastRenderedPageBreak/>
              <w:sym w:font="Wingdings" w:char="F0A8"/>
            </w:r>
            <w:r w:rsidRPr="003C727C">
              <w:rPr>
                <w:rFonts w:eastAsia="Calibri"/>
                <w:szCs w:val="24"/>
              </w:rPr>
              <w:t>   TAIP</w:t>
            </w:r>
          </w:p>
        </w:tc>
        <w:tc>
          <w:tcPr>
            <w:tcW w:w="3005" w:type="dxa"/>
            <w:vAlign w:val="center"/>
            <w:hideMark/>
          </w:tcPr>
          <w:p w14:paraId="717C6EDC" w14:textId="77777777" w:rsidR="00C226EF" w:rsidRPr="003C727C" w:rsidRDefault="00C226EF" w:rsidP="00CE4DF1">
            <w:pPr>
              <w:rPr>
                <w:rFonts w:eastAsia="Calibri"/>
                <w:szCs w:val="24"/>
              </w:rPr>
            </w:pPr>
            <w:r w:rsidRPr="003C727C">
              <w:rPr>
                <w:rFonts w:ascii="Calibri" w:eastAsia="Calibri" w:hAnsi="Calibri"/>
                <w:sz w:val="22"/>
                <w:szCs w:val="22"/>
                <w:lang w:val="en-US"/>
              </w:rPr>
              <w:sym w:font="Wingdings" w:char="F0A8"/>
            </w:r>
            <w:r w:rsidRPr="003C727C">
              <w:rPr>
                <w:rFonts w:eastAsia="Calibri"/>
                <w:szCs w:val="24"/>
              </w:rPr>
              <w:t>   NE</w:t>
            </w:r>
          </w:p>
        </w:tc>
        <w:tc>
          <w:tcPr>
            <w:tcW w:w="3061" w:type="dxa"/>
            <w:vAlign w:val="center"/>
          </w:tcPr>
          <w:p w14:paraId="4DB5DACB" w14:textId="77777777" w:rsidR="00C226EF" w:rsidRPr="003C727C" w:rsidRDefault="00C226EF" w:rsidP="00CE4DF1">
            <w:pPr>
              <w:rPr>
                <w:rFonts w:eastAsia="Calibri"/>
                <w:szCs w:val="24"/>
              </w:rPr>
            </w:pPr>
          </w:p>
        </w:tc>
      </w:tr>
    </w:tbl>
    <w:p w14:paraId="5320F829" w14:textId="77777777" w:rsidR="00C226EF" w:rsidRPr="003C727C" w:rsidRDefault="00C226EF" w:rsidP="00C226EF">
      <w:pPr>
        <w:ind w:right="425"/>
        <w:jc w:val="both"/>
        <w:rPr>
          <w:rFonts w:eastAsia="Calibri"/>
          <w:szCs w:val="24"/>
        </w:rPr>
      </w:pPr>
      <w:r w:rsidRPr="003C727C">
        <w:rPr>
          <w:rFonts w:eastAsia="Calibri"/>
          <w:szCs w:val="24"/>
        </w:rPr>
        <w:t>Jei „NE“, paaiškinkite, nurodydami, jei reikia, kiek ir kokių išlaidų siūloma atsisakyti:</w:t>
      </w:r>
    </w:p>
    <w:p w14:paraId="32DD2AF7" w14:textId="476C9C5E" w:rsidR="00C226EF" w:rsidRPr="003C727C" w:rsidRDefault="00C226EF" w:rsidP="00C226EF">
      <w:pPr>
        <w:ind w:right="425"/>
        <w:jc w:val="both"/>
        <w:rPr>
          <w:rFonts w:eastAsia="Calibri"/>
          <w:szCs w:val="24"/>
        </w:rPr>
      </w:pPr>
      <w:r w:rsidRPr="003C727C">
        <w:rPr>
          <w:rFonts w:eastAsia="Calibri"/>
          <w:szCs w:val="24"/>
        </w:rPr>
        <w:t xml:space="preserve"> . . . . . . . . . . . . . . . . . . . . . . . . . . . . . . . . . . . . . . . . . . . . . . . . . . . . . . . . . . . . . . . . . . . . . . . . . . . . . </w:t>
      </w:r>
    </w:p>
    <w:p w14:paraId="69C6190C" w14:textId="77777777" w:rsidR="00C226EF" w:rsidRPr="003C727C" w:rsidRDefault="00C226EF" w:rsidP="00C226EF">
      <w:pPr>
        <w:jc w:val="both"/>
        <w:rPr>
          <w:rFonts w:eastAsia="Calibri"/>
          <w:b/>
          <w:szCs w:val="24"/>
        </w:rPr>
      </w:pPr>
    </w:p>
    <w:p w14:paraId="1A8A58DB" w14:textId="6A5F5117" w:rsidR="00ED7A6C" w:rsidRDefault="00ED7A6C" w:rsidP="00ED7A6C">
      <w:pPr>
        <w:spacing w:before="200" w:after="200"/>
        <w:jc w:val="both"/>
        <w:rPr>
          <w:rFonts w:eastAsia="Calibri"/>
          <w:b/>
          <w:szCs w:val="24"/>
        </w:rPr>
      </w:pPr>
      <w:r w:rsidRPr="005273B1">
        <w:rPr>
          <w:rFonts w:eastAsia="Calibri"/>
          <w:b/>
          <w:szCs w:val="24"/>
        </w:rPr>
        <w:t>I</w:t>
      </w:r>
      <w:r w:rsidR="002505FA">
        <w:rPr>
          <w:rFonts w:eastAsia="Calibri"/>
          <w:b/>
          <w:szCs w:val="24"/>
        </w:rPr>
        <w:t>II</w:t>
      </w:r>
      <w:r w:rsidRPr="005273B1">
        <w:rPr>
          <w:rFonts w:eastAsia="Calibri"/>
          <w:b/>
          <w:szCs w:val="24"/>
        </w:rPr>
        <w:t>. </w:t>
      </w:r>
      <w:r>
        <w:rPr>
          <w:rFonts w:eastAsia="Calibri"/>
          <w:b/>
          <w:szCs w:val="24"/>
        </w:rPr>
        <w:t>Ar tinkamai įvertintos v</w:t>
      </w:r>
      <w:r w:rsidRPr="00C03627">
        <w:rPr>
          <w:rFonts w:eastAsia="Calibri"/>
          <w:b/>
          <w:szCs w:val="24"/>
        </w:rPr>
        <w:t>eiklų įgyvendinimo rizikos ir</w:t>
      </w:r>
      <w:r>
        <w:rPr>
          <w:rFonts w:eastAsia="Calibri"/>
          <w:b/>
          <w:szCs w:val="24"/>
        </w:rPr>
        <w:t xml:space="preserve"> aprašytas</w:t>
      </w:r>
      <w:r w:rsidRPr="00C03627">
        <w:rPr>
          <w:rFonts w:eastAsia="Calibri"/>
          <w:b/>
          <w:szCs w:val="24"/>
        </w:rPr>
        <w:t xml:space="preserve"> jų valdymas</w:t>
      </w:r>
      <w:r>
        <w:rPr>
          <w:rFonts w:eastAsia="Calibri"/>
          <w:b/>
          <w:szCs w:val="24"/>
        </w:rPr>
        <w:t>?</w:t>
      </w:r>
    </w:p>
    <w:tbl>
      <w:tblPr>
        <w:tblW w:w="9071" w:type="dxa"/>
        <w:jc w:val="center"/>
        <w:tblLook w:val="01E0" w:firstRow="1" w:lastRow="1" w:firstColumn="1" w:lastColumn="1" w:noHBand="0" w:noVBand="0"/>
      </w:tblPr>
      <w:tblGrid>
        <w:gridCol w:w="3005"/>
        <w:gridCol w:w="3005"/>
        <w:gridCol w:w="3061"/>
      </w:tblGrid>
      <w:tr w:rsidR="00ED7A6C" w:rsidRPr="00C07B84" w14:paraId="378AE232" w14:textId="77777777" w:rsidTr="0065678E">
        <w:trPr>
          <w:trHeight w:val="397"/>
          <w:jc w:val="center"/>
        </w:trPr>
        <w:tc>
          <w:tcPr>
            <w:tcW w:w="3005" w:type="dxa"/>
            <w:vAlign w:val="center"/>
            <w:hideMark/>
          </w:tcPr>
          <w:p w14:paraId="487F8DD1" w14:textId="77777777" w:rsidR="00ED7A6C" w:rsidRPr="005273B1" w:rsidRDefault="00ED7A6C" w:rsidP="0065678E">
            <w:pPr>
              <w:rPr>
                <w:rFonts w:eastAsia="Calibri"/>
                <w:szCs w:val="24"/>
              </w:rPr>
            </w:pPr>
            <w:r w:rsidRPr="005273B1">
              <w:rPr>
                <w:rFonts w:ascii="Calibri" w:eastAsia="Calibri" w:hAnsi="Calibri"/>
                <w:sz w:val="22"/>
                <w:szCs w:val="22"/>
                <w:lang w:val="en-US"/>
              </w:rPr>
              <w:sym w:font="Wingdings" w:char="F0A8"/>
            </w:r>
            <w:r w:rsidRPr="005273B1">
              <w:rPr>
                <w:rFonts w:eastAsia="Calibri"/>
                <w:szCs w:val="24"/>
              </w:rPr>
              <w:t>   TAIP</w:t>
            </w:r>
          </w:p>
        </w:tc>
        <w:tc>
          <w:tcPr>
            <w:tcW w:w="3005" w:type="dxa"/>
            <w:vAlign w:val="center"/>
            <w:hideMark/>
          </w:tcPr>
          <w:p w14:paraId="607076F9" w14:textId="77777777" w:rsidR="00ED7A6C" w:rsidRPr="005273B1" w:rsidRDefault="00ED7A6C" w:rsidP="0065678E">
            <w:pPr>
              <w:rPr>
                <w:rFonts w:eastAsia="Calibri"/>
                <w:szCs w:val="24"/>
              </w:rPr>
            </w:pPr>
            <w:r w:rsidRPr="005273B1">
              <w:rPr>
                <w:rFonts w:ascii="Calibri" w:eastAsia="Calibri" w:hAnsi="Calibri"/>
                <w:sz w:val="22"/>
                <w:szCs w:val="22"/>
                <w:lang w:val="en-US"/>
              </w:rPr>
              <w:sym w:font="Wingdings" w:char="F0A8"/>
            </w:r>
            <w:r w:rsidRPr="005273B1">
              <w:rPr>
                <w:rFonts w:eastAsia="Calibri"/>
                <w:szCs w:val="24"/>
              </w:rPr>
              <w:t>   NE</w:t>
            </w:r>
          </w:p>
        </w:tc>
        <w:tc>
          <w:tcPr>
            <w:tcW w:w="3061" w:type="dxa"/>
            <w:vAlign w:val="center"/>
          </w:tcPr>
          <w:p w14:paraId="55910573" w14:textId="77777777" w:rsidR="00ED7A6C" w:rsidRPr="005273B1" w:rsidRDefault="00ED7A6C" w:rsidP="0065678E">
            <w:pPr>
              <w:rPr>
                <w:rFonts w:eastAsia="Calibri"/>
                <w:szCs w:val="24"/>
              </w:rPr>
            </w:pPr>
          </w:p>
        </w:tc>
      </w:tr>
    </w:tbl>
    <w:p w14:paraId="259616D8" w14:textId="1E3A97F2" w:rsidR="00ED7A6C" w:rsidRPr="002505FA" w:rsidRDefault="00ED7A6C" w:rsidP="002505FA">
      <w:pPr>
        <w:spacing w:before="200" w:after="200"/>
        <w:jc w:val="both"/>
        <w:rPr>
          <w:rFonts w:eastAsia="Calibri"/>
          <w:bCs/>
          <w:szCs w:val="24"/>
        </w:rPr>
      </w:pPr>
      <w:r w:rsidRPr="00DD3854">
        <w:rPr>
          <w:rFonts w:eastAsia="Calibri"/>
          <w:bCs/>
          <w:szCs w:val="24"/>
        </w:rPr>
        <w:t>Jei „NE“, paaiškinkite</w:t>
      </w:r>
      <w:r>
        <w:rPr>
          <w:rFonts w:eastAsia="Calibri"/>
          <w:bCs/>
          <w:szCs w:val="24"/>
        </w:rPr>
        <w:t xml:space="preserve">. </w:t>
      </w:r>
      <w:r w:rsidRPr="005273B1">
        <w:rPr>
          <w:rFonts w:eastAsia="Calibri"/>
          <w:szCs w:val="24"/>
        </w:rPr>
        <w:t xml:space="preserve">. . . . . . . . . . . . . . . . . . . . . . </w:t>
      </w:r>
      <w:r>
        <w:rPr>
          <w:rFonts w:eastAsia="Calibri"/>
          <w:szCs w:val="24"/>
        </w:rPr>
        <w:t xml:space="preserve">. . . . . . . . . . . . . . . </w:t>
      </w:r>
      <w:r w:rsidRPr="005273B1">
        <w:rPr>
          <w:rFonts w:eastAsia="Calibri"/>
          <w:szCs w:val="24"/>
        </w:rPr>
        <w:t>. . . . . .</w:t>
      </w:r>
      <w:r w:rsidRPr="003817E0">
        <w:rPr>
          <w:rFonts w:eastAsia="Calibri"/>
          <w:szCs w:val="24"/>
        </w:rPr>
        <w:t xml:space="preserve"> </w:t>
      </w:r>
      <w:r w:rsidRPr="005273B1">
        <w:rPr>
          <w:rFonts w:eastAsia="Calibri"/>
          <w:szCs w:val="24"/>
        </w:rPr>
        <w:t>. . . . . .</w:t>
      </w:r>
      <w:r w:rsidRPr="003817E0">
        <w:rPr>
          <w:rFonts w:eastAsia="Calibri"/>
          <w:szCs w:val="24"/>
        </w:rPr>
        <w:t xml:space="preserve"> </w:t>
      </w:r>
      <w:r w:rsidRPr="005273B1">
        <w:rPr>
          <w:rFonts w:eastAsia="Calibri"/>
          <w:szCs w:val="24"/>
        </w:rPr>
        <w:t>. . . .</w:t>
      </w:r>
      <w:r>
        <w:rPr>
          <w:rFonts w:eastAsia="Calibri"/>
          <w:szCs w:val="24"/>
        </w:rPr>
        <w:t xml:space="preserve"> . . . . . . . . .</w:t>
      </w:r>
    </w:p>
    <w:p w14:paraId="6B9DA9DC" w14:textId="77777777" w:rsidR="00ED7A6C" w:rsidRDefault="00ED7A6C" w:rsidP="00C226EF">
      <w:pPr>
        <w:jc w:val="both"/>
        <w:rPr>
          <w:rFonts w:eastAsia="Calibri"/>
          <w:b/>
          <w:szCs w:val="24"/>
        </w:rPr>
      </w:pPr>
    </w:p>
    <w:p w14:paraId="6FBBE0F6" w14:textId="116555BE" w:rsidR="00C226EF" w:rsidRPr="003C727C" w:rsidRDefault="00C226EF" w:rsidP="00C226EF">
      <w:pPr>
        <w:jc w:val="both"/>
        <w:rPr>
          <w:rFonts w:eastAsia="Calibri"/>
          <w:b/>
          <w:szCs w:val="24"/>
        </w:rPr>
      </w:pPr>
      <w:r w:rsidRPr="003C727C">
        <w:rPr>
          <w:rFonts w:eastAsia="Calibri"/>
          <w:b/>
          <w:szCs w:val="24"/>
        </w:rPr>
        <w:t>I</w:t>
      </w:r>
      <w:r w:rsidR="002505FA">
        <w:rPr>
          <w:rFonts w:eastAsia="Calibri"/>
          <w:b/>
          <w:szCs w:val="24"/>
        </w:rPr>
        <w:t>V</w:t>
      </w:r>
      <w:r w:rsidRPr="003C727C">
        <w:rPr>
          <w:rFonts w:eastAsia="Calibri"/>
          <w:b/>
          <w:szCs w:val="24"/>
        </w:rPr>
        <w:t>. Kitos pastabos:</w:t>
      </w:r>
    </w:p>
    <w:p w14:paraId="15B22406" w14:textId="184488FA" w:rsidR="00C226EF" w:rsidRPr="003C727C" w:rsidRDefault="00C226EF" w:rsidP="00C226EF">
      <w:pPr>
        <w:jc w:val="both"/>
        <w:rPr>
          <w:rFonts w:eastAsia="Calibri"/>
          <w:b/>
          <w:szCs w:val="24"/>
        </w:rPr>
      </w:pPr>
      <w:r w:rsidRPr="003C727C">
        <w:rPr>
          <w:rFonts w:eastAsia="Calibri"/>
          <w:szCs w:val="24"/>
        </w:rPr>
        <w:t>. . . . . . . . . . . . . . . . . . . . . . . . . . . . . . . . . . . . . . . . . . . . . . . . . . . . . . . . . . . . . . . . . . . . . . . . . . . . . . . .</w:t>
      </w:r>
    </w:p>
    <w:p w14:paraId="6E1CA7F5" w14:textId="77777777" w:rsidR="00C226EF" w:rsidRPr="003C727C" w:rsidRDefault="00C226EF" w:rsidP="00C226EF">
      <w:pPr>
        <w:jc w:val="both"/>
        <w:rPr>
          <w:rFonts w:eastAsia="Calibri"/>
          <w:b/>
          <w:szCs w:val="24"/>
        </w:rPr>
      </w:pPr>
    </w:p>
    <w:p w14:paraId="2FA6B8AD" w14:textId="77777777" w:rsidR="009A0444" w:rsidRDefault="009C5D4D" w:rsidP="009A0444">
      <w:pPr>
        <w:jc w:val="both"/>
        <w:rPr>
          <w:rFonts w:eastAsia="Calibri"/>
          <w:szCs w:val="24"/>
        </w:rPr>
      </w:pPr>
      <w:r w:rsidRPr="005273B1">
        <w:rPr>
          <w:rFonts w:eastAsia="Calibri"/>
          <w:b/>
          <w:szCs w:val="24"/>
        </w:rPr>
        <w:t>V. Galutinė išvada</w:t>
      </w:r>
      <w:r w:rsidRPr="005273B1">
        <w:t xml:space="preserve"> </w:t>
      </w:r>
      <w:r w:rsidRPr="005273B1">
        <w:rPr>
          <w:rFonts w:eastAsia="Calibri"/>
          <w:szCs w:val="24"/>
        </w:rPr>
        <w:t>(</w:t>
      </w:r>
      <w:r w:rsidR="009A0444" w:rsidRPr="0046312B">
        <w:t>Paraiška laikoma netinkama finansuoti, jeigu bent pagal vieną vertinimo kriterijų ji įvertinama kaip neaktuali arba nedidelės reikšmės. Paraiška gali būti finansuojama tik tuo atveju, jeigu pagal visus vertinimo kriterijus jos įvertinimas yra ne mažesnis kaip vidutiniškai aktuali ir vidutinės reikšmės</w:t>
      </w:r>
      <w:r w:rsidR="009A0444" w:rsidRPr="005273B1">
        <w:rPr>
          <w:rFonts w:eastAsia="Calibri"/>
          <w:szCs w:val="24"/>
        </w:rPr>
        <w:t>):</w:t>
      </w:r>
    </w:p>
    <w:p w14:paraId="573BB997" w14:textId="39303E1F" w:rsidR="009C5D4D" w:rsidRPr="005273B1" w:rsidRDefault="009C5D4D" w:rsidP="009C5D4D">
      <w:pPr>
        <w:spacing w:after="200"/>
        <w:jc w:val="both"/>
        <w:rPr>
          <w:rFonts w:eastAsia="Calibri"/>
          <w:szCs w:val="24"/>
        </w:rPr>
      </w:pPr>
    </w:p>
    <w:p w14:paraId="11FE7E3E" w14:textId="77777777" w:rsidR="00C226EF" w:rsidRPr="003C727C" w:rsidRDefault="00C226EF" w:rsidP="007921A1">
      <w:pPr>
        <w:suppressAutoHyphens/>
        <w:autoSpaceDE w:val="0"/>
        <w:autoSpaceDN w:val="0"/>
        <w:adjustRightInd w:val="0"/>
        <w:rPr>
          <w:szCs w:val="24"/>
          <w:lang w:eastAsia="lt-LT"/>
        </w:rPr>
      </w:pPr>
      <w:r w:rsidRPr="003C727C">
        <w:rPr>
          <w:sz w:val="20"/>
          <w:lang w:eastAsia="lt-LT"/>
        </w:rPr>
        <w:sym w:font="Wingdings" w:char="F0A8"/>
      </w:r>
      <w:r w:rsidRPr="003C727C">
        <w:rPr>
          <w:sz w:val="20"/>
          <w:lang w:eastAsia="lt-LT"/>
        </w:rPr>
        <w:t> </w:t>
      </w:r>
      <w:r w:rsidRPr="003C727C">
        <w:rPr>
          <w:szCs w:val="24"/>
          <w:lang w:eastAsia="lt-LT"/>
        </w:rPr>
        <w:t>P</w:t>
      </w:r>
      <w:r>
        <w:rPr>
          <w:szCs w:val="24"/>
          <w:lang w:eastAsia="lt-LT"/>
        </w:rPr>
        <w:t>ROJEKTAS</w:t>
      </w:r>
      <w:r w:rsidRPr="003C727C">
        <w:rPr>
          <w:szCs w:val="24"/>
          <w:lang w:eastAsia="lt-LT"/>
        </w:rPr>
        <w:t xml:space="preserve"> FINANSUOTINA</w:t>
      </w:r>
      <w:r>
        <w:rPr>
          <w:szCs w:val="24"/>
          <w:lang w:eastAsia="lt-LT"/>
        </w:rPr>
        <w:t>S</w:t>
      </w:r>
      <w:r w:rsidRPr="003C727C">
        <w:rPr>
          <w:szCs w:val="24"/>
          <w:lang w:eastAsia="lt-LT"/>
        </w:rPr>
        <w:t xml:space="preserve"> PIRMUMO TVARKA</w:t>
      </w:r>
    </w:p>
    <w:p w14:paraId="6B3DD036" w14:textId="77777777" w:rsidR="00C226EF" w:rsidRPr="003C727C" w:rsidRDefault="00C226EF" w:rsidP="007921A1">
      <w:pPr>
        <w:suppressAutoHyphens/>
        <w:autoSpaceDE w:val="0"/>
        <w:autoSpaceDN w:val="0"/>
        <w:adjustRightInd w:val="0"/>
        <w:rPr>
          <w:szCs w:val="24"/>
          <w:lang w:eastAsia="lt-LT"/>
        </w:rPr>
      </w:pPr>
      <w:r w:rsidRPr="003C727C">
        <w:rPr>
          <w:sz w:val="20"/>
          <w:lang w:eastAsia="lt-LT"/>
        </w:rPr>
        <w:sym w:font="Wingdings" w:char="F0A8"/>
      </w:r>
      <w:r w:rsidRPr="003C727C">
        <w:rPr>
          <w:sz w:val="20"/>
          <w:lang w:eastAsia="lt-LT"/>
        </w:rPr>
        <w:t> </w:t>
      </w:r>
      <w:r w:rsidRPr="003C727C">
        <w:rPr>
          <w:szCs w:val="24"/>
          <w:lang w:eastAsia="lt-LT"/>
        </w:rPr>
        <w:t>P</w:t>
      </w:r>
      <w:r>
        <w:rPr>
          <w:szCs w:val="24"/>
          <w:lang w:eastAsia="lt-LT"/>
        </w:rPr>
        <w:t>ROJEKTAS</w:t>
      </w:r>
      <w:r w:rsidRPr="003C727C">
        <w:rPr>
          <w:szCs w:val="24"/>
          <w:lang w:eastAsia="lt-LT"/>
        </w:rPr>
        <w:t xml:space="preserve"> FINANSUOTINA</w:t>
      </w:r>
      <w:r>
        <w:rPr>
          <w:szCs w:val="24"/>
          <w:lang w:eastAsia="lt-LT"/>
        </w:rPr>
        <w:t>S</w:t>
      </w:r>
      <w:r w:rsidRPr="003C727C">
        <w:rPr>
          <w:szCs w:val="24"/>
          <w:lang w:eastAsia="lt-LT"/>
        </w:rPr>
        <w:t xml:space="preserve"> ESANT PAKANKAMAI LĖŠŲ</w:t>
      </w:r>
    </w:p>
    <w:p w14:paraId="3D699098" w14:textId="77777777" w:rsidR="00C226EF" w:rsidRPr="003C727C" w:rsidRDefault="00C226EF" w:rsidP="007921A1">
      <w:pPr>
        <w:rPr>
          <w:rFonts w:eastAsia="Calibri"/>
          <w:szCs w:val="24"/>
        </w:rPr>
      </w:pPr>
      <w:r w:rsidRPr="003C727C">
        <w:rPr>
          <w:rFonts w:eastAsia="Calibri"/>
          <w:sz w:val="20"/>
          <w:szCs w:val="22"/>
        </w:rPr>
        <w:sym w:font="Wingdings" w:char="F0A8"/>
      </w:r>
      <w:r w:rsidRPr="003C727C">
        <w:rPr>
          <w:rFonts w:eastAsia="Calibri"/>
          <w:sz w:val="22"/>
          <w:szCs w:val="22"/>
        </w:rPr>
        <w:t> </w:t>
      </w:r>
      <w:r w:rsidRPr="003C727C">
        <w:rPr>
          <w:rFonts w:eastAsia="Calibri"/>
          <w:szCs w:val="24"/>
        </w:rPr>
        <w:t>P</w:t>
      </w:r>
      <w:r>
        <w:rPr>
          <w:rFonts w:eastAsia="Calibri"/>
          <w:szCs w:val="24"/>
        </w:rPr>
        <w:t>ROJEKTAS</w:t>
      </w:r>
      <w:r w:rsidRPr="003C727C">
        <w:rPr>
          <w:rFonts w:eastAsia="Calibri"/>
          <w:szCs w:val="24"/>
        </w:rPr>
        <w:t xml:space="preserve"> NEFINANSUOTINA</w:t>
      </w:r>
      <w:r>
        <w:rPr>
          <w:rFonts w:eastAsia="Calibri"/>
          <w:szCs w:val="24"/>
        </w:rPr>
        <w:t>S</w:t>
      </w:r>
    </w:p>
    <w:p w14:paraId="15DCDD21" w14:textId="77777777" w:rsidR="00C226EF" w:rsidRPr="003C727C" w:rsidRDefault="00C226EF" w:rsidP="00C226EF">
      <w:pPr>
        <w:ind w:right="-223"/>
        <w:rPr>
          <w:rFonts w:eastAsia="Calibri"/>
          <w:szCs w:val="24"/>
        </w:rPr>
      </w:pPr>
    </w:p>
    <w:p w14:paraId="551C0085" w14:textId="77777777" w:rsidR="00C226EF" w:rsidRPr="003C727C" w:rsidRDefault="00C226EF" w:rsidP="00C226EF">
      <w:pPr>
        <w:spacing w:after="200"/>
        <w:jc w:val="both"/>
        <w:rPr>
          <w:rFonts w:eastAsia="Calibri"/>
          <w:szCs w:val="24"/>
        </w:rPr>
      </w:pPr>
      <w:r w:rsidRPr="003C727C">
        <w:rPr>
          <w:b/>
          <w:lang w:val="en-US"/>
        </w:rPr>
        <w:sym w:font="Wingdings 2" w:char="F0A3"/>
      </w:r>
      <w:r w:rsidRPr="003C727C">
        <w:rPr>
          <w:rFonts w:eastAsia="Calibri"/>
          <w:sz w:val="22"/>
          <w:szCs w:val="22"/>
        </w:rPr>
        <w:t>    </w:t>
      </w:r>
      <w:r w:rsidRPr="003C727C">
        <w:rPr>
          <w:bCs/>
          <w:szCs w:val="24"/>
        </w:rPr>
        <w:t xml:space="preserve">Aš, čia pasirašęs ekspertas, patvirtinu, kad </w:t>
      </w:r>
      <w:r w:rsidRPr="003C727C">
        <w:rPr>
          <w:szCs w:val="24"/>
          <w:lang w:eastAsia="lt-LT"/>
        </w:rPr>
        <w:t>šios paraiškos sėkmės ar nesėkmės atveju neturėsiu tiesioginės ar netiesioginės materialios ar nematerialios naudos</w:t>
      </w:r>
    </w:p>
    <w:tbl>
      <w:tblPr>
        <w:tblW w:w="0" w:type="auto"/>
        <w:tblLook w:val="04A0" w:firstRow="1" w:lastRow="0" w:firstColumn="1" w:lastColumn="0" w:noHBand="0" w:noVBand="1"/>
      </w:tblPr>
      <w:tblGrid>
        <w:gridCol w:w="3686"/>
        <w:gridCol w:w="2883"/>
        <w:gridCol w:w="3003"/>
      </w:tblGrid>
      <w:tr w:rsidR="009A0444" w:rsidRPr="00D95899" w14:paraId="0D7920BE" w14:textId="77777777" w:rsidTr="007248A8">
        <w:tc>
          <w:tcPr>
            <w:tcW w:w="3686" w:type="dxa"/>
          </w:tcPr>
          <w:p w14:paraId="2AD44D29" w14:textId="77777777" w:rsidR="009A0444" w:rsidRPr="00D95899" w:rsidRDefault="009A0444" w:rsidP="007248A8">
            <w:pPr>
              <w:ind w:right="-223"/>
              <w:rPr>
                <w:rFonts w:eastAsia="Calibri"/>
                <w:szCs w:val="24"/>
              </w:rPr>
            </w:pPr>
            <w:r w:rsidRPr="00D95899">
              <w:rPr>
                <w:rFonts w:eastAsia="Calibri"/>
                <w:szCs w:val="24"/>
              </w:rPr>
              <w:t>Ekspertų komisijos narys</w:t>
            </w:r>
          </w:p>
          <w:p w14:paraId="2DA0F4B3" w14:textId="77777777" w:rsidR="009A0444" w:rsidRPr="001D399E" w:rsidRDefault="009A0444" w:rsidP="007248A8">
            <w:pPr>
              <w:ind w:right="-223"/>
              <w:rPr>
                <w:rFonts w:eastAsia="Calibri"/>
                <w:i/>
              </w:rPr>
            </w:pPr>
            <w:r w:rsidRPr="001D399E">
              <w:rPr>
                <w:rFonts w:eastAsia="Calibri"/>
                <w:i/>
              </w:rPr>
              <w:t>(Kai individualus įvertinimas)</w:t>
            </w:r>
          </w:p>
        </w:tc>
        <w:tc>
          <w:tcPr>
            <w:tcW w:w="2883" w:type="dxa"/>
          </w:tcPr>
          <w:p w14:paraId="12D84E36" w14:textId="77777777" w:rsidR="009A0444" w:rsidRPr="00D95899" w:rsidRDefault="009A0444" w:rsidP="007248A8">
            <w:pPr>
              <w:jc w:val="center"/>
              <w:rPr>
                <w:rFonts w:eastAsia="Calibri"/>
                <w:szCs w:val="24"/>
              </w:rPr>
            </w:pPr>
          </w:p>
        </w:tc>
        <w:tc>
          <w:tcPr>
            <w:tcW w:w="3003" w:type="dxa"/>
          </w:tcPr>
          <w:p w14:paraId="0F3D1AEA" w14:textId="77777777" w:rsidR="009A0444" w:rsidRPr="00D95899" w:rsidRDefault="009A0444" w:rsidP="007248A8">
            <w:pPr>
              <w:jc w:val="center"/>
              <w:rPr>
                <w:rFonts w:eastAsia="Calibri"/>
                <w:szCs w:val="24"/>
              </w:rPr>
            </w:pPr>
            <w:r w:rsidRPr="00D95899">
              <w:rPr>
                <w:rFonts w:eastAsia="Calibri"/>
                <w:szCs w:val="24"/>
              </w:rPr>
              <w:t xml:space="preserve">. . . . . . . . . . . . . . . . . . . . . . . </w:t>
            </w:r>
          </w:p>
          <w:p w14:paraId="363E4210" w14:textId="77777777" w:rsidR="009A0444" w:rsidRPr="00D95899" w:rsidRDefault="009A0444" w:rsidP="007248A8">
            <w:pPr>
              <w:jc w:val="center"/>
              <w:rPr>
                <w:rFonts w:eastAsia="Calibri"/>
                <w:szCs w:val="24"/>
              </w:rPr>
            </w:pPr>
            <w:r w:rsidRPr="00D95899">
              <w:rPr>
                <w:rFonts w:eastAsia="Calibri"/>
                <w:i/>
              </w:rPr>
              <w:t>(Vardas, pavardė)</w:t>
            </w:r>
          </w:p>
        </w:tc>
      </w:tr>
      <w:tr w:rsidR="009A0444" w:rsidRPr="00D95899" w14:paraId="1FA6052F" w14:textId="77777777" w:rsidTr="007248A8">
        <w:tc>
          <w:tcPr>
            <w:tcW w:w="3686" w:type="dxa"/>
          </w:tcPr>
          <w:p w14:paraId="7AE9C860" w14:textId="77777777" w:rsidR="009A0444" w:rsidRDefault="009A0444" w:rsidP="007248A8">
            <w:pPr>
              <w:ind w:right="-223"/>
              <w:rPr>
                <w:rFonts w:eastAsia="Calibri"/>
                <w:szCs w:val="24"/>
              </w:rPr>
            </w:pPr>
          </w:p>
          <w:p w14:paraId="75B90348" w14:textId="77777777" w:rsidR="009A0444" w:rsidRPr="00D95899" w:rsidRDefault="009A0444" w:rsidP="007248A8">
            <w:pPr>
              <w:ind w:right="-223"/>
              <w:rPr>
                <w:rFonts w:eastAsia="Calibri"/>
                <w:szCs w:val="24"/>
              </w:rPr>
            </w:pPr>
            <w:r w:rsidRPr="00D95899">
              <w:rPr>
                <w:rFonts w:eastAsia="Calibri"/>
                <w:szCs w:val="24"/>
              </w:rPr>
              <w:t>Ekspertų komisijos pirmininkas</w:t>
            </w:r>
          </w:p>
          <w:p w14:paraId="55BFDD76" w14:textId="77777777" w:rsidR="009A0444" w:rsidRPr="001D399E" w:rsidRDefault="009A0444" w:rsidP="007248A8">
            <w:pPr>
              <w:ind w:right="-223"/>
              <w:rPr>
                <w:rFonts w:eastAsia="Calibri"/>
                <w:i/>
              </w:rPr>
            </w:pPr>
            <w:r w:rsidRPr="001D399E">
              <w:rPr>
                <w:rFonts w:eastAsia="Calibri"/>
                <w:i/>
              </w:rPr>
              <w:t>(Kai apibendrinamasis įvertinimas)</w:t>
            </w:r>
          </w:p>
        </w:tc>
        <w:tc>
          <w:tcPr>
            <w:tcW w:w="2883" w:type="dxa"/>
          </w:tcPr>
          <w:p w14:paraId="3C9FDEE5" w14:textId="77777777" w:rsidR="009A0444" w:rsidRDefault="009A0444" w:rsidP="007248A8">
            <w:pPr>
              <w:jc w:val="center"/>
              <w:rPr>
                <w:rFonts w:eastAsia="Calibri"/>
                <w:szCs w:val="24"/>
              </w:rPr>
            </w:pPr>
          </w:p>
          <w:p w14:paraId="5C36C7AA" w14:textId="77777777" w:rsidR="009A0444" w:rsidRPr="00D95899" w:rsidRDefault="009A0444" w:rsidP="007248A8">
            <w:pPr>
              <w:jc w:val="center"/>
              <w:rPr>
                <w:rFonts w:eastAsia="Calibri"/>
                <w:szCs w:val="24"/>
              </w:rPr>
            </w:pPr>
          </w:p>
        </w:tc>
        <w:tc>
          <w:tcPr>
            <w:tcW w:w="3003" w:type="dxa"/>
          </w:tcPr>
          <w:p w14:paraId="3C96A1BF" w14:textId="77777777" w:rsidR="009A0444" w:rsidRDefault="009A0444" w:rsidP="007248A8">
            <w:pPr>
              <w:jc w:val="center"/>
              <w:rPr>
                <w:rFonts w:eastAsia="Calibri"/>
                <w:szCs w:val="24"/>
              </w:rPr>
            </w:pPr>
          </w:p>
          <w:p w14:paraId="79C7DFD2" w14:textId="77777777" w:rsidR="009A0444" w:rsidRPr="00D95899" w:rsidRDefault="009A0444" w:rsidP="007248A8">
            <w:pPr>
              <w:jc w:val="center"/>
              <w:rPr>
                <w:rFonts w:eastAsia="Calibri"/>
                <w:szCs w:val="24"/>
              </w:rPr>
            </w:pPr>
            <w:r w:rsidRPr="00D95899">
              <w:rPr>
                <w:rFonts w:eastAsia="Calibri"/>
                <w:szCs w:val="24"/>
              </w:rPr>
              <w:t xml:space="preserve">. . . . . . . . . . . . . . . . . . . . . . . </w:t>
            </w:r>
          </w:p>
          <w:p w14:paraId="03E2676A" w14:textId="77777777" w:rsidR="009A0444" w:rsidRPr="00D95899" w:rsidRDefault="009A0444" w:rsidP="007248A8">
            <w:pPr>
              <w:jc w:val="center"/>
              <w:rPr>
                <w:rFonts w:eastAsia="Calibri"/>
                <w:szCs w:val="24"/>
              </w:rPr>
            </w:pPr>
            <w:r w:rsidRPr="00D95899">
              <w:rPr>
                <w:rFonts w:eastAsia="Calibri"/>
                <w:i/>
              </w:rPr>
              <w:t>(Vardas, pavardė)</w:t>
            </w:r>
          </w:p>
        </w:tc>
      </w:tr>
    </w:tbl>
    <w:p w14:paraId="3F218DFA" w14:textId="77777777" w:rsidR="009A0444" w:rsidRDefault="009A0444" w:rsidP="009A0444">
      <w:pPr>
        <w:suppressAutoHyphens/>
        <w:autoSpaceDE w:val="0"/>
        <w:autoSpaceDN w:val="0"/>
        <w:adjustRightInd w:val="0"/>
        <w:jc w:val="center"/>
        <w:textAlignment w:val="center"/>
        <w:rPr>
          <w:rFonts w:eastAsia="Calibri"/>
          <w:szCs w:val="24"/>
        </w:rPr>
      </w:pPr>
    </w:p>
    <w:p w14:paraId="0550889D" w14:textId="77777777" w:rsidR="009A0444" w:rsidRDefault="009A0444" w:rsidP="009A0444">
      <w:pPr>
        <w:suppressAutoHyphens/>
        <w:autoSpaceDE w:val="0"/>
        <w:autoSpaceDN w:val="0"/>
        <w:adjustRightInd w:val="0"/>
        <w:jc w:val="center"/>
        <w:textAlignment w:val="center"/>
        <w:rPr>
          <w:rFonts w:eastAsia="Calibri"/>
          <w:szCs w:val="24"/>
        </w:rPr>
      </w:pPr>
    </w:p>
    <w:p w14:paraId="7D95ABE0" w14:textId="77777777" w:rsidR="009A0444" w:rsidRDefault="009A0444" w:rsidP="009A0444">
      <w:pPr>
        <w:rPr>
          <w:rFonts w:eastAsia="Calibri"/>
          <w:szCs w:val="24"/>
        </w:rPr>
      </w:pPr>
      <w:r>
        <w:rPr>
          <w:rFonts w:eastAsia="Calibri"/>
          <w:szCs w:val="24"/>
        </w:rPr>
        <w:t xml:space="preserve">Data . . . . . . . . . . .  </w:t>
      </w:r>
    </w:p>
    <w:p w14:paraId="71EF9D18" w14:textId="77777777" w:rsidR="009A0444" w:rsidRDefault="009A0444" w:rsidP="009A0444">
      <w:pPr>
        <w:suppressAutoHyphens/>
        <w:autoSpaceDE w:val="0"/>
        <w:autoSpaceDN w:val="0"/>
        <w:adjustRightInd w:val="0"/>
        <w:jc w:val="center"/>
        <w:textAlignment w:val="center"/>
        <w:rPr>
          <w:rFonts w:eastAsia="Calibri"/>
          <w:szCs w:val="24"/>
        </w:rPr>
      </w:pPr>
      <w:r>
        <w:rPr>
          <w:rFonts w:eastAsia="Calibri"/>
          <w:szCs w:val="24"/>
        </w:rPr>
        <w:t>________________________</w:t>
      </w:r>
    </w:p>
    <w:p w14:paraId="7A07F08A" w14:textId="77777777" w:rsidR="00B915CA" w:rsidRDefault="00B915CA"/>
    <w:sectPr w:rsidR="00B915CA" w:rsidSect="00C226EF">
      <w:headerReference w:type="even" r:id="rId9"/>
      <w:headerReference w:type="default" r:id="rId10"/>
      <w:footerReference w:type="even" r:id="rId11"/>
      <w:headerReference w:type="first" r:id="rId12"/>
      <w:footerReference w:type="first" r:id="rId13"/>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1A87F" w14:textId="77777777" w:rsidR="00916371" w:rsidRDefault="00916371">
      <w:r>
        <w:separator/>
      </w:r>
    </w:p>
  </w:endnote>
  <w:endnote w:type="continuationSeparator" w:id="0">
    <w:p w14:paraId="35B03E31" w14:textId="77777777" w:rsidR="00916371" w:rsidRDefault="00916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B482" w14:textId="77777777" w:rsidR="00C226EF" w:rsidRDefault="00C226EF">
    <w:pPr>
      <w:tabs>
        <w:tab w:val="center" w:pos="4513"/>
        <w:tab w:val="right" w:pos="9026"/>
      </w:tabs>
      <w:spacing w:after="200" w:line="276" w:lineRule="auto"/>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9BFD" w14:textId="77777777" w:rsidR="00C226EF" w:rsidRDefault="00C226EF">
    <w:pPr>
      <w:tabs>
        <w:tab w:val="center" w:pos="4513"/>
        <w:tab w:val="right" w:pos="9026"/>
      </w:tabs>
      <w:spacing w:after="200" w:line="276" w:lineRule="auto"/>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CE246" w14:textId="77777777" w:rsidR="00916371" w:rsidRDefault="00916371">
      <w:r>
        <w:separator/>
      </w:r>
    </w:p>
  </w:footnote>
  <w:footnote w:type="continuationSeparator" w:id="0">
    <w:p w14:paraId="0758EB15" w14:textId="77777777" w:rsidR="00916371" w:rsidRDefault="00916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40A2" w14:textId="77777777" w:rsidR="00C226EF" w:rsidRDefault="00C226EF">
    <w:pPr>
      <w:tabs>
        <w:tab w:val="center" w:pos="4513"/>
        <w:tab w:val="right" w:pos="9026"/>
      </w:tabs>
      <w:spacing w:after="200" w:line="276" w:lineRule="auto"/>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EB5B" w14:textId="77777777" w:rsidR="00C226EF" w:rsidRDefault="00C226EF">
    <w:pPr>
      <w:pStyle w:val="Header"/>
      <w:jc w:val="center"/>
    </w:pPr>
    <w:r>
      <w:fldChar w:fldCharType="begin"/>
    </w:r>
    <w:r>
      <w:instrText>PAGE   \* MERGEFORMAT</w:instrText>
    </w:r>
    <w:r>
      <w:fldChar w:fldCharType="separate"/>
    </w:r>
    <w:r>
      <w:t>3</w:t>
    </w:r>
    <w:r>
      <w:fldChar w:fldCharType="end"/>
    </w:r>
  </w:p>
  <w:p w14:paraId="5771D920" w14:textId="77777777" w:rsidR="00C226EF" w:rsidRDefault="00C226EF">
    <w:pPr>
      <w:tabs>
        <w:tab w:val="center" w:pos="4513"/>
        <w:tab w:val="right" w:pos="9026"/>
      </w:tabs>
      <w:spacing w:after="200" w:line="276" w:lineRule="auto"/>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33ED1" w14:textId="77777777" w:rsidR="00C226EF" w:rsidRPr="00F462D4" w:rsidRDefault="00C226EF" w:rsidP="00D17E66">
    <w:pPr>
      <w:tabs>
        <w:tab w:val="center" w:pos="4513"/>
        <w:tab w:val="right" w:pos="9026"/>
      </w:tabs>
      <w:spacing w:after="200" w:line="276" w:lineRule="auto"/>
      <w:rPr>
        <w:rFonts w:eastAsia="Calibri"/>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EF"/>
    <w:rsid w:val="00172160"/>
    <w:rsid w:val="002505FA"/>
    <w:rsid w:val="002551CF"/>
    <w:rsid w:val="002F154C"/>
    <w:rsid w:val="00370DBC"/>
    <w:rsid w:val="00420549"/>
    <w:rsid w:val="0045238B"/>
    <w:rsid w:val="005105F8"/>
    <w:rsid w:val="00653160"/>
    <w:rsid w:val="00744DA9"/>
    <w:rsid w:val="007921A1"/>
    <w:rsid w:val="007F6503"/>
    <w:rsid w:val="00810E2B"/>
    <w:rsid w:val="008E0D6F"/>
    <w:rsid w:val="00916371"/>
    <w:rsid w:val="00926B81"/>
    <w:rsid w:val="009A0444"/>
    <w:rsid w:val="009C5D4D"/>
    <w:rsid w:val="00A21DA1"/>
    <w:rsid w:val="00A63092"/>
    <w:rsid w:val="00B40399"/>
    <w:rsid w:val="00B915CA"/>
    <w:rsid w:val="00C012F9"/>
    <w:rsid w:val="00C226EF"/>
    <w:rsid w:val="00C6397A"/>
    <w:rsid w:val="00E16492"/>
    <w:rsid w:val="00ED7A6C"/>
    <w:rsid w:val="00F008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C422A"/>
  <w15:chartTrackingRefBased/>
  <w15:docId w15:val="{D2E6D9C7-163C-41AC-8445-A38F114E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6E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C226E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226E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226E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226E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C226E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C226E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C226E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C226EF"/>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C226EF"/>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6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6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6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6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6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6EF"/>
    <w:rPr>
      <w:rFonts w:eastAsiaTheme="majorEastAsia" w:cstheme="majorBidi"/>
      <w:color w:val="272727" w:themeColor="text1" w:themeTint="D8"/>
    </w:rPr>
  </w:style>
  <w:style w:type="paragraph" w:styleId="Title">
    <w:name w:val="Title"/>
    <w:basedOn w:val="Normal"/>
    <w:next w:val="Normal"/>
    <w:link w:val="TitleChar"/>
    <w:uiPriority w:val="10"/>
    <w:qFormat/>
    <w:rsid w:val="00C226E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22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6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22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6EF"/>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C226EF"/>
    <w:rPr>
      <w:i/>
      <w:iCs/>
      <w:color w:val="404040" w:themeColor="text1" w:themeTint="BF"/>
    </w:rPr>
  </w:style>
  <w:style w:type="paragraph" w:styleId="ListParagraph">
    <w:name w:val="List Paragraph"/>
    <w:basedOn w:val="Normal"/>
    <w:uiPriority w:val="34"/>
    <w:qFormat/>
    <w:rsid w:val="00C226EF"/>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C226EF"/>
    <w:rPr>
      <w:i/>
      <w:iCs/>
      <w:color w:val="2F5496" w:themeColor="accent1" w:themeShade="BF"/>
    </w:rPr>
  </w:style>
  <w:style w:type="paragraph" w:styleId="IntenseQuote">
    <w:name w:val="Intense Quote"/>
    <w:basedOn w:val="Normal"/>
    <w:next w:val="Normal"/>
    <w:link w:val="IntenseQuoteChar"/>
    <w:uiPriority w:val="30"/>
    <w:qFormat/>
    <w:rsid w:val="00C226E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C226EF"/>
    <w:rPr>
      <w:i/>
      <w:iCs/>
      <w:color w:val="2F5496" w:themeColor="accent1" w:themeShade="BF"/>
    </w:rPr>
  </w:style>
  <w:style w:type="character" w:styleId="IntenseReference">
    <w:name w:val="Intense Reference"/>
    <w:basedOn w:val="DefaultParagraphFont"/>
    <w:uiPriority w:val="32"/>
    <w:qFormat/>
    <w:rsid w:val="00C226EF"/>
    <w:rPr>
      <w:b/>
      <w:bCs/>
      <w:smallCaps/>
      <w:color w:val="2F5496" w:themeColor="accent1" w:themeShade="BF"/>
      <w:spacing w:val="5"/>
    </w:rPr>
  </w:style>
  <w:style w:type="paragraph" w:styleId="Header">
    <w:name w:val="header"/>
    <w:basedOn w:val="Normal"/>
    <w:link w:val="HeaderChar"/>
    <w:uiPriority w:val="99"/>
    <w:unhideWhenUsed/>
    <w:rsid w:val="00C226EF"/>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sid w:val="00C226EF"/>
    <w:rPr>
      <w:rFonts w:eastAsiaTheme="minorEastAsia"/>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7cfc82502a5ecedd5cf433b72e3f5788">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e41669187d937ff61d80de2f9ba35277"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Props1.xml><?xml version="1.0" encoding="utf-8"?>
<ds:datastoreItem xmlns:ds="http://schemas.openxmlformats.org/officeDocument/2006/customXml" ds:itemID="{DA95A19E-9E28-493C-9C65-ADB32BA93CE8}">
  <ds:schemaRefs>
    <ds:schemaRef ds:uri="http://schemas.microsoft.com/sharepoint/v3/contenttype/forms"/>
  </ds:schemaRefs>
</ds:datastoreItem>
</file>

<file path=customXml/itemProps2.xml><?xml version="1.0" encoding="utf-8"?>
<ds:datastoreItem xmlns:ds="http://schemas.openxmlformats.org/officeDocument/2006/customXml" ds:itemID="{6D5B0D66-A05A-478C-BEB7-1B5430C6C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074A34-41D4-4C25-A62A-29F1632EB0D3}">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2358</Words>
  <Characters>1345</Characters>
  <Application>Microsoft Office Word</Application>
  <DocSecurity>0</DocSecurity>
  <Lines>11</Lines>
  <Paragraphs>7</Paragraphs>
  <ScaleCrop>false</ScaleCrop>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Grigaliūnienė | Lietuvos mokslo taryba</dc:creator>
  <cp:keywords/>
  <dc:description/>
  <cp:lastModifiedBy>Inga Grigaliūnienė | Lietuvos mokslo taryba</cp:lastModifiedBy>
  <cp:revision>4</cp:revision>
  <dcterms:created xsi:type="dcterms:W3CDTF">2026-03-19T07:20:00Z</dcterms:created>
  <dcterms:modified xsi:type="dcterms:W3CDTF">2026-03-19T07:23:00Z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MediaServiceImageTags">
    <vt:lpwstr/>
  </property>
</Properties>
</file>