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CellSpacing w:w="15" w:type="dxa"/>
        <w:shd w:val="clear" w:color="auto" w:fill="FFFFFF"/>
        <w:tblCellMar>
          <w:left w:w="0" w:type="dxa"/>
          <w:right w:w="0" w:type="dxa"/>
        </w:tblCellMar>
        <w:tblLook w:val="04A0" w:firstRow="1" w:lastRow="0" w:firstColumn="1" w:lastColumn="0" w:noHBand="0" w:noVBand="1"/>
      </w:tblPr>
      <w:tblGrid>
        <w:gridCol w:w="2479"/>
        <w:gridCol w:w="6593"/>
      </w:tblGrid>
      <w:tr w:rsidR="002301EA" w:rsidRPr="002301EA" w14:paraId="7AE3682E" w14:textId="77777777" w:rsidTr="00750566">
        <w:trPr>
          <w:tblCellSpacing w:w="15" w:type="dxa"/>
        </w:trPr>
        <w:tc>
          <w:tcPr>
            <w:tcW w:w="0" w:type="auto"/>
            <w:tcBorders>
              <w:top w:val="nil"/>
              <w:left w:val="nil"/>
              <w:right w:val="nil"/>
            </w:tcBorders>
            <w:shd w:val="clear" w:color="auto" w:fill="FFFFFF"/>
            <w:tcMar>
              <w:top w:w="300" w:type="dxa"/>
              <w:left w:w="300" w:type="dxa"/>
              <w:bottom w:w="300" w:type="dxa"/>
              <w:right w:w="300" w:type="dxa"/>
            </w:tcMar>
            <w:vAlign w:val="center"/>
            <w:hideMark/>
          </w:tcPr>
          <w:p w14:paraId="4CAA542D" w14:textId="77777777" w:rsidR="002301EA" w:rsidRPr="002301EA" w:rsidRDefault="002301EA" w:rsidP="002301EA">
            <w:pPr>
              <w:rPr>
                <w:b/>
                <w:bCs/>
              </w:rPr>
            </w:pPr>
            <w:r w:rsidRPr="002301EA">
              <w:rPr>
                <w:b/>
                <w:bCs/>
              </w:rPr>
              <w:t>Kvietimo lėšos</w:t>
            </w:r>
          </w:p>
        </w:tc>
        <w:tc>
          <w:tcPr>
            <w:tcW w:w="6548" w:type="dxa"/>
            <w:tcBorders>
              <w:top w:val="nil"/>
              <w:left w:val="nil"/>
              <w:right w:val="nil"/>
            </w:tcBorders>
            <w:shd w:val="clear" w:color="auto" w:fill="FFFFFF"/>
            <w:tcMar>
              <w:top w:w="300" w:type="dxa"/>
              <w:left w:w="300" w:type="dxa"/>
              <w:bottom w:w="300" w:type="dxa"/>
              <w:right w:w="300" w:type="dxa"/>
            </w:tcMar>
            <w:vAlign w:val="center"/>
            <w:hideMark/>
          </w:tcPr>
          <w:p w14:paraId="3D6C32BE" w14:textId="3024A803" w:rsidR="002301EA" w:rsidRPr="00141081" w:rsidRDefault="00D13559" w:rsidP="002301EA">
            <w:r w:rsidRPr="00141081">
              <w:t>8</w:t>
            </w:r>
            <w:r w:rsidR="002301EA" w:rsidRPr="00141081">
              <w:t xml:space="preserve"> mln. Eur  </w:t>
            </w:r>
          </w:p>
        </w:tc>
      </w:tr>
      <w:tr w:rsidR="002301EA" w:rsidRPr="00061B64" w14:paraId="2E119BB2" w14:textId="77777777" w:rsidTr="00750566">
        <w:trPr>
          <w:tblCellSpacing w:w="15" w:type="dxa"/>
        </w:trPr>
        <w:tc>
          <w:tcPr>
            <w:tcW w:w="0" w:type="auto"/>
            <w:tcBorders>
              <w:top w:val="nil"/>
              <w:left w:val="nil"/>
              <w:right w:val="nil"/>
            </w:tcBorders>
            <w:shd w:val="clear" w:color="auto" w:fill="FFFFFF"/>
            <w:tcMar>
              <w:top w:w="300" w:type="dxa"/>
              <w:left w:w="300" w:type="dxa"/>
              <w:bottom w:w="300" w:type="dxa"/>
              <w:right w:w="300" w:type="dxa"/>
            </w:tcMar>
            <w:vAlign w:val="center"/>
            <w:hideMark/>
          </w:tcPr>
          <w:p w14:paraId="01209FA8" w14:textId="77777777" w:rsidR="002301EA" w:rsidRPr="002301EA" w:rsidRDefault="002301EA" w:rsidP="002301EA">
            <w:pPr>
              <w:rPr>
                <w:b/>
                <w:bCs/>
              </w:rPr>
            </w:pPr>
            <w:r w:rsidRPr="002301EA">
              <w:rPr>
                <w:b/>
                <w:bCs/>
              </w:rPr>
              <w:t>Paraiškų teikimo pabaiga </w:t>
            </w:r>
          </w:p>
        </w:tc>
        <w:tc>
          <w:tcPr>
            <w:tcW w:w="6548" w:type="dxa"/>
            <w:tcBorders>
              <w:top w:val="nil"/>
              <w:left w:val="nil"/>
              <w:right w:val="nil"/>
            </w:tcBorders>
            <w:shd w:val="clear" w:color="auto" w:fill="FFFFFF"/>
            <w:tcMar>
              <w:top w:w="300" w:type="dxa"/>
              <w:left w:w="300" w:type="dxa"/>
              <w:bottom w:w="300" w:type="dxa"/>
              <w:right w:w="300" w:type="dxa"/>
            </w:tcMar>
            <w:vAlign w:val="center"/>
            <w:hideMark/>
          </w:tcPr>
          <w:p w14:paraId="5B9995B8" w14:textId="7A2DD675" w:rsidR="002301EA" w:rsidRPr="002301EA" w:rsidRDefault="00152D95" w:rsidP="002301EA">
            <w:r>
              <w:t>2025</w:t>
            </w:r>
            <w:r w:rsidR="00EE6365">
              <w:t xml:space="preserve"> m. birželio 6, </w:t>
            </w:r>
            <w:r w:rsidR="002301EA" w:rsidRPr="002301EA">
              <w:t> </w:t>
            </w:r>
            <w:r w:rsidR="002301EA" w:rsidRPr="002301EA">
              <w:rPr>
                <w:b/>
                <w:bCs/>
              </w:rPr>
              <w:t>16 val.</w:t>
            </w:r>
            <w:r w:rsidR="000F37C7">
              <w:rPr>
                <w:b/>
                <w:bCs/>
              </w:rPr>
              <w:t xml:space="preserve"> </w:t>
            </w:r>
          </w:p>
        </w:tc>
      </w:tr>
      <w:tr w:rsidR="002301EA" w:rsidRPr="002301EA" w14:paraId="12268478" w14:textId="77777777" w:rsidTr="00750566">
        <w:trPr>
          <w:tblCellSpacing w:w="15" w:type="dxa"/>
        </w:trPr>
        <w:tc>
          <w:tcPr>
            <w:tcW w:w="0" w:type="auto"/>
            <w:tcBorders>
              <w:top w:val="nil"/>
              <w:left w:val="nil"/>
              <w:right w:val="nil"/>
            </w:tcBorders>
            <w:shd w:val="clear" w:color="auto" w:fill="FFFFFF"/>
            <w:tcMar>
              <w:top w:w="300" w:type="dxa"/>
              <w:left w:w="300" w:type="dxa"/>
              <w:bottom w:w="300" w:type="dxa"/>
              <w:right w:w="300" w:type="dxa"/>
            </w:tcMar>
            <w:vAlign w:val="center"/>
            <w:hideMark/>
          </w:tcPr>
          <w:p w14:paraId="748ED786" w14:textId="77777777" w:rsidR="002301EA" w:rsidRPr="002301EA" w:rsidRDefault="002301EA" w:rsidP="002301EA">
            <w:pPr>
              <w:rPr>
                <w:b/>
                <w:bCs/>
              </w:rPr>
            </w:pPr>
            <w:r w:rsidRPr="002301EA">
              <w:rPr>
                <w:b/>
                <w:bCs/>
              </w:rPr>
              <w:t>Projekto trukmė  </w:t>
            </w:r>
          </w:p>
        </w:tc>
        <w:tc>
          <w:tcPr>
            <w:tcW w:w="6548" w:type="dxa"/>
            <w:tcBorders>
              <w:top w:val="nil"/>
              <w:left w:val="nil"/>
              <w:right w:val="nil"/>
            </w:tcBorders>
            <w:shd w:val="clear" w:color="auto" w:fill="FFFFFF"/>
            <w:tcMar>
              <w:top w:w="300" w:type="dxa"/>
              <w:left w:w="300" w:type="dxa"/>
              <w:bottom w:w="300" w:type="dxa"/>
              <w:right w:w="300" w:type="dxa"/>
            </w:tcMar>
            <w:vAlign w:val="center"/>
            <w:hideMark/>
          </w:tcPr>
          <w:p w14:paraId="26EF240C" w14:textId="77777777" w:rsidR="002301EA" w:rsidRPr="002301EA" w:rsidRDefault="002301EA" w:rsidP="002301EA">
            <w:r w:rsidRPr="002301EA">
              <w:t>24 mėn.</w:t>
            </w:r>
          </w:p>
          <w:p w14:paraId="3F469748" w14:textId="4B895312" w:rsidR="002301EA" w:rsidRPr="002301EA" w:rsidRDefault="002301EA" w:rsidP="002301EA"/>
        </w:tc>
      </w:tr>
      <w:tr w:rsidR="002301EA" w:rsidRPr="002301EA" w14:paraId="002A6A6D" w14:textId="77777777" w:rsidTr="00750566">
        <w:trPr>
          <w:tblCellSpacing w:w="15" w:type="dxa"/>
        </w:trPr>
        <w:tc>
          <w:tcPr>
            <w:tcW w:w="0" w:type="auto"/>
            <w:tcBorders>
              <w:top w:val="nil"/>
              <w:left w:val="nil"/>
              <w:right w:val="nil"/>
            </w:tcBorders>
            <w:shd w:val="clear" w:color="auto" w:fill="FFFFFF"/>
            <w:tcMar>
              <w:top w:w="300" w:type="dxa"/>
              <w:left w:w="300" w:type="dxa"/>
              <w:bottom w:w="300" w:type="dxa"/>
              <w:right w:w="300" w:type="dxa"/>
            </w:tcMar>
            <w:vAlign w:val="center"/>
            <w:hideMark/>
          </w:tcPr>
          <w:p w14:paraId="6AB4A4DE" w14:textId="77777777" w:rsidR="002301EA" w:rsidRPr="00141081" w:rsidRDefault="002301EA" w:rsidP="002301EA">
            <w:pPr>
              <w:rPr>
                <w:b/>
                <w:bCs/>
              </w:rPr>
            </w:pPr>
            <w:r w:rsidRPr="00141081">
              <w:rPr>
                <w:b/>
                <w:bCs/>
              </w:rPr>
              <w:t>Projekto vertė  </w:t>
            </w:r>
          </w:p>
        </w:tc>
        <w:tc>
          <w:tcPr>
            <w:tcW w:w="6548" w:type="dxa"/>
            <w:tcBorders>
              <w:top w:val="nil"/>
              <w:left w:val="nil"/>
              <w:right w:val="nil"/>
            </w:tcBorders>
            <w:shd w:val="clear" w:color="auto" w:fill="FFFFFF"/>
            <w:tcMar>
              <w:top w:w="300" w:type="dxa"/>
              <w:left w:w="300" w:type="dxa"/>
              <w:bottom w:w="300" w:type="dxa"/>
              <w:right w:w="300" w:type="dxa"/>
            </w:tcMar>
            <w:vAlign w:val="center"/>
            <w:hideMark/>
          </w:tcPr>
          <w:p w14:paraId="2F25B81C" w14:textId="001A3AAB" w:rsidR="002301EA" w:rsidRPr="00141081" w:rsidRDefault="002301EA" w:rsidP="002301EA">
            <w:r w:rsidRPr="00141081">
              <w:t>Iki 1</w:t>
            </w:r>
            <w:r w:rsidR="00061B64" w:rsidRPr="00141081">
              <w:t>3</w:t>
            </w:r>
            <w:r w:rsidRPr="00141081">
              <w:t>0 000 Eur    </w:t>
            </w:r>
          </w:p>
          <w:p w14:paraId="5514CD62" w14:textId="77777777" w:rsidR="002301EA" w:rsidRPr="00141081" w:rsidRDefault="002301EA" w:rsidP="002301EA">
            <w:r w:rsidRPr="00141081">
              <w:t>Lėšos turi būti planuojamos visam projekto laikotarpiui ir kiekvieniems kalendoriniams metams.   </w:t>
            </w:r>
          </w:p>
          <w:p w14:paraId="1A17FFD2" w14:textId="77777777" w:rsidR="002301EA" w:rsidRPr="00141081" w:rsidRDefault="002301EA" w:rsidP="002301EA">
            <w:r w:rsidRPr="00141081">
              <w:t>Netiesioginės išlaidos gali sudaryti iki 10 proc. projekto išlaidų sąmatoje numatytų tiesioginių išlaidų sumos.</w:t>
            </w:r>
          </w:p>
          <w:p w14:paraId="25BDDF40" w14:textId="77777777" w:rsidR="002301EA" w:rsidRPr="002301EA" w:rsidRDefault="002301EA" w:rsidP="002301EA">
            <w:r w:rsidRPr="00141081">
              <w:t>Stažuotės vadovo darbo užmokesčio išlaidos į projekto išlaidų sąmatą neįtraukiamos.</w:t>
            </w:r>
            <w:r w:rsidRPr="002301EA">
              <w:t> </w:t>
            </w:r>
          </w:p>
        </w:tc>
      </w:tr>
      <w:tr w:rsidR="002301EA" w:rsidRPr="002301EA" w14:paraId="05929102" w14:textId="77777777" w:rsidTr="00750566">
        <w:trPr>
          <w:tblCellSpacing w:w="15" w:type="dxa"/>
        </w:trPr>
        <w:tc>
          <w:tcPr>
            <w:tcW w:w="0" w:type="auto"/>
            <w:tcBorders>
              <w:top w:val="nil"/>
              <w:left w:val="nil"/>
              <w:right w:val="nil"/>
            </w:tcBorders>
            <w:shd w:val="clear" w:color="auto" w:fill="FFFFFF"/>
            <w:tcMar>
              <w:top w:w="300" w:type="dxa"/>
              <w:left w:w="300" w:type="dxa"/>
              <w:bottom w:w="300" w:type="dxa"/>
              <w:right w:w="300" w:type="dxa"/>
            </w:tcMar>
            <w:vAlign w:val="center"/>
            <w:hideMark/>
          </w:tcPr>
          <w:p w14:paraId="764198B5" w14:textId="77777777" w:rsidR="002301EA" w:rsidRPr="00083EF5" w:rsidRDefault="002301EA" w:rsidP="002301EA">
            <w:pPr>
              <w:rPr>
                <w:b/>
                <w:bCs/>
              </w:rPr>
            </w:pPr>
            <w:r w:rsidRPr="00083EF5">
              <w:rPr>
                <w:b/>
                <w:bCs/>
              </w:rPr>
              <w:t>Galimi pareiškėjai</w:t>
            </w:r>
          </w:p>
        </w:tc>
        <w:tc>
          <w:tcPr>
            <w:tcW w:w="6548" w:type="dxa"/>
            <w:tcBorders>
              <w:top w:val="nil"/>
              <w:left w:val="nil"/>
              <w:right w:val="nil"/>
            </w:tcBorders>
            <w:shd w:val="clear" w:color="auto" w:fill="FFFFFF"/>
            <w:tcMar>
              <w:top w:w="300" w:type="dxa"/>
              <w:left w:w="300" w:type="dxa"/>
              <w:bottom w:w="300" w:type="dxa"/>
              <w:right w:w="300" w:type="dxa"/>
            </w:tcMar>
            <w:vAlign w:val="center"/>
            <w:hideMark/>
          </w:tcPr>
          <w:p w14:paraId="4D8C520A" w14:textId="77777777" w:rsidR="002301EA" w:rsidRPr="00083EF5" w:rsidRDefault="002301EA" w:rsidP="002301EA">
            <w:r w:rsidRPr="00083EF5">
              <w:t>Paraišką teikia vykdančioji institucija kartu su stažuotoju.</w:t>
            </w:r>
          </w:p>
          <w:p w14:paraId="1B341C48" w14:textId="77777777" w:rsidR="002301EA" w:rsidRPr="00083EF5" w:rsidRDefault="002301EA" w:rsidP="002301EA">
            <w:r w:rsidRPr="00083EF5">
              <w:t>Stažuotojas ir stažuotės vadovas gali būti nurodyti tik vienoje to paties kvietimo paraiškoje.</w:t>
            </w:r>
          </w:p>
          <w:p w14:paraId="392DB70B" w14:textId="498ABC43" w:rsidR="002301EA" w:rsidRPr="00083EF5" w:rsidRDefault="002301EA" w:rsidP="002301EA">
            <w:r w:rsidRPr="00083EF5">
              <w:t xml:space="preserve">Asmuo (stažuotojas ir stažuotės vadovas) gali būti nurodytas paraiškoje, jei paskutinę kvietimo teikti paraiškas dieną jam nėra taikomi Lietuvos mokslo tarybos mokslo ir sklaidos projektų konkursinio finansavimo bendrųjų taisyklių </w:t>
            </w:r>
            <w:r w:rsidR="00654B9B" w:rsidRPr="00083EF5">
              <w:t xml:space="preserve">7.7, </w:t>
            </w:r>
            <w:r w:rsidRPr="00083EF5">
              <w:t>76–80 punktuose nurodyti apribojimai svarstyti paraiškas. </w:t>
            </w:r>
          </w:p>
          <w:p w14:paraId="29D40660" w14:textId="65C5BB17" w:rsidR="002301EA" w:rsidRPr="00083EF5" w:rsidRDefault="002301EA" w:rsidP="002301EA">
            <w:r w:rsidRPr="00083EF5">
              <w:rPr>
                <w:b/>
                <w:bCs/>
              </w:rPr>
              <w:t>Vykdančioji institucija</w:t>
            </w:r>
            <w:r w:rsidRPr="00083EF5">
              <w:t> turi būti Lietuvos mokslo ir studijų institucija, įtraukta į Švietimo ir mokslo institucijų registrą</w:t>
            </w:r>
            <w:r w:rsidR="005852CA" w:rsidRPr="00083EF5">
              <w:t>, universitetų ligoninės</w:t>
            </w:r>
            <w:r w:rsidRPr="00083EF5">
              <w:t>. Vykdančioji institucija turi būti kita nei ta, kurioje stažuotojas parengė daktaro disertaciją. </w:t>
            </w:r>
          </w:p>
          <w:p w14:paraId="4605617F" w14:textId="34522223" w:rsidR="002301EA" w:rsidRPr="00083EF5" w:rsidRDefault="002301EA" w:rsidP="002301EA">
            <w:r w:rsidRPr="00083EF5">
              <w:rPr>
                <w:b/>
                <w:bCs/>
              </w:rPr>
              <w:lastRenderedPageBreak/>
              <w:t>Stažuotojas</w:t>
            </w:r>
            <w:r w:rsidRPr="00083EF5">
              <w:t xml:space="preserve"> suprantamas kaip tyrėjas, turintis Lietuvos arba užsienio mokslo ir studijų institucijos suteiktą mokslo (meno) daktaro laipsnį, ir kuriam nuo mokslo (meno) daktaro disertacijos apgynimo dienos iki kvietime nurodyto paraiškų pateikimo termino dienos yra praėję ne daugiau kaip </w:t>
            </w:r>
            <w:r w:rsidR="000426B4" w:rsidRPr="00083EF5">
              <w:t>7</w:t>
            </w:r>
            <w:r w:rsidRPr="00083EF5">
              <w:t xml:space="preserve"> metai (šis laikotarpis pratęsiamas 18 mėnesių (motinos nėštumo ir gimdymo, vaiko priežiūros atostogų atveju) už kiekvieną vaiką, gimusį iki ar po daktaro laipsnio įgijimo dienos, pateikus vaiko (-ų) gimimo liudijimus, arba konkrečiu faktiniu laikotarpiu, pateikus dokumentus, pagrindžiančius nėštumo ir gimdymo, tėvystės atostogų ar atostogų vaikui (-</w:t>
            </w:r>
            <w:proofErr w:type="spellStart"/>
            <w:r w:rsidRPr="00083EF5">
              <w:t>ams</w:t>
            </w:r>
            <w:proofErr w:type="spellEnd"/>
            <w:r w:rsidRPr="00083EF5">
              <w:t>) prižiūrėti suteikimo laikotarpį (-</w:t>
            </w:r>
            <w:proofErr w:type="spellStart"/>
            <w:r w:rsidRPr="00083EF5">
              <w:t>ius</w:t>
            </w:r>
            <w:proofErr w:type="spellEnd"/>
            <w:r w:rsidRPr="00083EF5">
              <w:t>)) bei vykdantis projekte numatytą mokslo (meno) tiriamąjį darbą.  </w:t>
            </w:r>
          </w:p>
          <w:p w14:paraId="577A300F" w14:textId="77777777" w:rsidR="002301EA" w:rsidRPr="00083EF5" w:rsidRDefault="002301EA" w:rsidP="002301EA">
            <w:r w:rsidRPr="00083EF5">
              <w:rPr>
                <w:b/>
                <w:bCs/>
              </w:rPr>
              <w:t>Stažuotės vadovas</w:t>
            </w:r>
            <w:r w:rsidRPr="00083EF5">
              <w:t> suprantamas kaip vykdančiojoje institucijoje dirbantis mokslininkas ar menininkas, kuris projekto įgyvendinimo metu vadovauja stažuotojo vykdomam mokslo (meno) tiriamajam darbui. Podoktorantūros stažuotei neturi vadovauti stažuotojo daktaro disertacijos vadovas. </w:t>
            </w:r>
          </w:p>
        </w:tc>
      </w:tr>
      <w:tr w:rsidR="002301EA" w:rsidRPr="002301EA" w14:paraId="1779E062" w14:textId="77777777" w:rsidTr="00750566">
        <w:trPr>
          <w:tblCellSpacing w:w="15" w:type="dxa"/>
        </w:trPr>
        <w:tc>
          <w:tcPr>
            <w:tcW w:w="0" w:type="auto"/>
            <w:tcBorders>
              <w:top w:val="nil"/>
              <w:left w:val="nil"/>
              <w:right w:val="nil"/>
            </w:tcBorders>
            <w:shd w:val="clear" w:color="auto" w:fill="FFFFFF"/>
            <w:tcMar>
              <w:top w:w="300" w:type="dxa"/>
              <w:left w:w="300" w:type="dxa"/>
              <w:bottom w:w="300" w:type="dxa"/>
              <w:right w:w="300" w:type="dxa"/>
            </w:tcMar>
            <w:vAlign w:val="center"/>
            <w:hideMark/>
          </w:tcPr>
          <w:p w14:paraId="62D1C03B" w14:textId="77777777" w:rsidR="002301EA" w:rsidRPr="003A23BD" w:rsidRDefault="002301EA" w:rsidP="002301EA">
            <w:pPr>
              <w:rPr>
                <w:b/>
                <w:bCs/>
              </w:rPr>
            </w:pPr>
            <w:r w:rsidRPr="003A23BD">
              <w:rPr>
                <w:b/>
                <w:bCs/>
              </w:rPr>
              <w:lastRenderedPageBreak/>
              <w:t>Paraiškų teikimo tvarka </w:t>
            </w:r>
          </w:p>
        </w:tc>
        <w:tc>
          <w:tcPr>
            <w:tcW w:w="6548" w:type="dxa"/>
            <w:tcBorders>
              <w:top w:val="nil"/>
              <w:left w:val="nil"/>
              <w:right w:val="nil"/>
            </w:tcBorders>
            <w:shd w:val="clear" w:color="auto" w:fill="FFFFFF"/>
            <w:tcMar>
              <w:top w:w="300" w:type="dxa"/>
              <w:left w:w="300" w:type="dxa"/>
              <w:bottom w:w="300" w:type="dxa"/>
              <w:right w:w="300" w:type="dxa"/>
            </w:tcMar>
            <w:vAlign w:val="center"/>
            <w:hideMark/>
          </w:tcPr>
          <w:p w14:paraId="23C894B7" w14:textId="77777777" w:rsidR="002301EA" w:rsidRPr="003A23BD" w:rsidRDefault="002301EA" w:rsidP="002301EA">
            <w:r w:rsidRPr="003A23BD">
              <w:t>Paraiška teikiama pildant formą elektroninėje sistemoje </w:t>
            </w:r>
            <w:hyperlink r:id="rId5" w:tgtFrame="_blank" w:history="1">
              <w:r w:rsidRPr="003A23BD">
                <w:rPr>
                  <w:rStyle w:val="Hyperlink"/>
                </w:rPr>
                <w:t>https://junkis.lmt.lt/</w:t>
              </w:r>
            </w:hyperlink>
            <w:r w:rsidRPr="003A23BD">
              <w:t>.    </w:t>
            </w:r>
          </w:p>
          <w:p w14:paraId="60FDFEEE" w14:textId="77777777" w:rsidR="002301EA" w:rsidRPr="003A23BD" w:rsidRDefault="002301EA" w:rsidP="002301EA">
            <w:r w:rsidRPr="003A23BD">
              <w:t>Paraiška teikiama anglų kalba.</w:t>
            </w:r>
          </w:p>
          <w:p w14:paraId="0B29D11F" w14:textId="77777777" w:rsidR="002301EA" w:rsidRPr="003A23BD" w:rsidRDefault="002301EA" w:rsidP="002301EA">
            <w:r w:rsidRPr="003A23BD">
              <w:t>Kartu su paraiška turi būti pateikti šie priedai: </w:t>
            </w:r>
          </w:p>
          <w:p w14:paraId="68293438" w14:textId="77777777" w:rsidR="003A23BD" w:rsidRDefault="002301EA" w:rsidP="002301EA">
            <w:r w:rsidRPr="003A23BD">
              <w:t>1. Vykdančiosios institucijos raštas dėl projekto vykdymo užtikrinimo (lietuvių kalba);</w:t>
            </w:r>
          </w:p>
          <w:p w14:paraId="1FF08B41" w14:textId="0BEEEDE5" w:rsidR="002301EA" w:rsidRPr="003A23BD" w:rsidRDefault="0064266E" w:rsidP="002301EA">
            <w:r w:rsidRPr="003A23BD">
              <w:t>2</w:t>
            </w:r>
            <w:r w:rsidR="002301EA" w:rsidRPr="003A23BD">
              <w:t>. Dokumentų dėl stažuotojo nėštumo ir gimdymo atostogų, tėvystės atostogų ar vaiko priežiūros atostogų suteikimo  ar vaiko (-ų) gimimo liudijimo (-ų) kopijos (jei taikoma).</w:t>
            </w:r>
          </w:p>
          <w:p w14:paraId="5E4851E0" w14:textId="50E78C7A" w:rsidR="004A4F7B" w:rsidRPr="002301EA" w:rsidRDefault="004A4F7B" w:rsidP="002301EA">
            <w:r w:rsidRPr="003A23BD">
              <w:t>3. Duomen</w:t>
            </w:r>
            <w:r w:rsidR="00D27304">
              <w:t>ų</w:t>
            </w:r>
            <w:r w:rsidRPr="003A23BD">
              <w:t xml:space="preserve"> valdymo pla</w:t>
            </w:r>
            <w:r w:rsidR="003A23BD" w:rsidRPr="003A23BD">
              <w:t>n</w:t>
            </w:r>
            <w:r w:rsidR="00B67431">
              <w:t>o esminės nuostatos</w:t>
            </w:r>
            <w:r w:rsidR="003A23BD" w:rsidRPr="003A23BD">
              <w:t xml:space="preserve"> (jei taikoma)</w:t>
            </w:r>
          </w:p>
        </w:tc>
      </w:tr>
      <w:tr w:rsidR="002301EA" w:rsidRPr="002301EA" w14:paraId="53DE00B9" w14:textId="77777777" w:rsidTr="00750566">
        <w:trPr>
          <w:tblCellSpacing w:w="15" w:type="dxa"/>
        </w:trPr>
        <w:tc>
          <w:tcPr>
            <w:tcW w:w="0" w:type="auto"/>
            <w:tcBorders>
              <w:top w:val="nil"/>
              <w:left w:val="nil"/>
              <w:right w:val="nil"/>
            </w:tcBorders>
            <w:shd w:val="clear" w:color="auto" w:fill="FFFFFF"/>
            <w:tcMar>
              <w:top w:w="300" w:type="dxa"/>
              <w:left w:w="300" w:type="dxa"/>
              <w:bottom w:w="300" w:type="dxa"/>
              <w:right w:w="300" w:type="dxa"/>
            </w:tcMar>
            <w:vAlign w:val="center"/>
            <w:hideMark/>
          </w:tcPr>
          <w:p w14:paraId="39A1D98E" w14:textId="77777777" w:rsidR="002301EA" w:rsidRPr="002301EA" w:rsidRDefault="002301EA" w:rsidP="002301EA">
            <w:pPr>
              <w:rPr>
                <w:b/>
                <w:bCs/>
              </w:rPr>
            </w:pPr>
            <w:r w:rsidRPr="002301EA">
              <w:rPr>
                <w:b/>
                <w:bCs/>
              </w:rPr>
              <w:lastRenderedPageBreak/>
              <w:t>Paraiškų vertinimo tvarka </w:t>
            </w:r>
          </w:p>
        </w:tc>
        <w:tc>
          <w:tcPr>
            <w:tcW w:w="6548" w:type="dxa"/>
            <w:tcBorders>
              <w:top w:val="nil"/>
              <w:left w:val="nil"/>
              <w:right w:val="nil"/>
            </w:tcBorders>
            <w:shd w:val="clear" w:color="auto" w:fill="FFFFFF"/>
            <w:tcMar>
              <w:top w:w="300" w:type="dxa"/>
              <w:left w:w="300" w:type="dxa"/>
              <w:bottom w:w="300" w:type="dxa"/>
              <w:right w:w="300" w:type="dxa"/>
            </w:tcMar>
            <w:vAlign w:val="center"/>
            <w:hideMark/>
          </w:tcPr>
          <w:p w14:paraId="11240125" w14:textId="77777777" w:rsidR="002301EA" w:rsidRPr="002301EA" w:rsidRDefault="002301EA" w:rsidP="002301EA">
            <w:r w:rsidRPr="002301EA">
              <w:t>Ekspertiniam vertinimui teikiamos tik administracinės patikros reikalavimus atitikusios paraiškos. </w:t>
            </w:r>
          </w:p>
          <w:p w14:paraId="2D4C92C7" w14:textId="77777777" w:rsidR="002301EA" w:rsidRPr="002301EA" w:rsidRDefault="002301EA" w:rsidP="002301EA">
            <w:r w:rsidRPr="002301EA">
              <w:t>Paraiškų ekspertinis vertinimas atliekamas vadovaujantis Lietuvos mokslo tarybos pirmininko patvirtintu Projektų ir jų ataskaitų ekspertinio vertinimo tvarkos aprašu. </w:t>
            </w:r>
          </w:p>
          <w:p w14:paraId="6DA7A7D1" w14:textId="77777777" w:rsidR="002301EA" w:rsidRPr="002301EA" w:rsidRDefault="002301EA" w:rsidP="002301EA">
            <w:r w:rsidRPr="002301EA">
              <w:t>Paraiškas vertina vadovaujantis Lietuvos mokslo tarybos ekspertų ir jų veiklos bendrosiomis taisyklėmis sudarytos užsienio ekspertų komisijos, kurių vadovais gali būti paskirti Lietuvos ekspertai. </w:t>
            </w:r>
          </w:p>
        </w:tc>
      </w:tr>
      <w:tr w:rsidR="002301EA" w:rsidRPr="002301EA" w14:paraId="39838EBB" w14:textId="77777777" w:rsidTr="00750566">
        <w:trPr>
          <w:tblCellSpacing w:w="15" w:type="dxa"/>
        </w:trPr>
        <w:tc>
          <w:tcPr>
            <w:tcW w:w="0" w:type="auto"/>
            <w:tcBorders>
              <w:top w:val="nil"/>
              <w:left w:val="nil"/>
              <w:right w:val="nil"/>
            </w:tcBorders>
            <w:shd w:val="clear" w:color="auto" w:fill="FFFFFF"/>
            <w:tcMar>
              <w:top w:w="300" w:type="dxa"/>
              <w:left w:w="300" w:type="dxa"/>
              <w:bottom w:w="300" w:type="dxa"/>
              <w:right w:w="300" w:type="dxa"/>
            </w:tcMar>
            <w:vAlign w:val="center"/>
            <w:hideMark/>
          </w:tcPr>
          <w:p w14:paraId="06CEA688" w14:textId="6132B830" w:rsidR="002301EA" w:rsidRPr="002301EA" w:rsidRDefault="002301EA" w:rsidP="002301EA">
            <w:pPr>
              <w:rPr>
                <w:b/>
                <w:bCs/>
              </w:rPr>
            </w:pPr>
            <w:proofErr w:type="spellStart"/>
            <w:r w:rsidRPr="002301EA">
              <w:rPr>
                <w:b/>
                <w:bCs/>
              </w:rPr>
              <w:t>apildoma</w:t>
            </w:r>
            <w:proofErr w:type="spellEnd"/>
            <w:r w:rsidRPr="002301EA">
              <w:rPr>
                <w:b/>
                <w:bCs/>
              </w:rPr>
              <w:t xml:space="preserve"> informacija</w:t>
            </w:r>
          </w:p>
        </w:tc>
        <w:tc>
          <w:tcPr>
            <w:tcW w:w="6548" w:type="dxa"/>
            <w:tcBorders>
              <w:top w:val="nil"/>
              <w:left w:val="nil"/>
              <w:right w:val="nil"/>
            </w:tcBorders>
            <w:shd w:val="clear" w:color="auto" w:fill="FFFFFF"/>
            <w:tcMar>
              <w:top w:w="300" w:type="dxa"/>
              <w:left w:w="300" w:type="dxa"/>
              <w:bottom w:w="300" w:type="dxa"/>
              <w:right w:w="300" w:type="dxa"/>
            </w:tcMar>
            <w:vAlign w:val="center"/>
            <w:hideMark/>
          </w:tcPr>
          <w:p w14:paraId="40D76368" w14:textId="523B26F0" w:rsidR="002301EA" w:rsidRPr="002301EA" w:rsidRDefault="002301EA" w:rsidP="002301EA">
            <w:r w:rsidRPr="002301EA">
              <w:t>Stažuotojas projekto įgyvendinimo metu turi būti įdarbintas į mokslininko stažuotojo pareigybę arba tyrėjo (menų atveju) pareigybę ir jam turi būti nustatytas pareiginės algos koeficientas pagal Lietuvos Respublikos mokslo ir studijų įstatymo 72 </w:t>
            </w:r>
            <w:r w:rsidRPr="002301EA">
              <w:rPr>
                <w:vertAlign w:val="superscript"/>
              </w:rPr>
              <w:t>1 </w:t>
            </w:r>
            <w:r w:rsidRPr="002301EA">
              <w:t xml:space="preserve">straipsnio 5 dalies 5 punkte nurodytas koeficientų intervalo ribas. </w:t>
            </w:r>
            <w:r w:rsidR="003C3513" w:rsidRPr="003A23BD">
              <w:t xml:space="preserve">Bendra </w:t>
            </w:r>
            <w:r w:rsidR="003C3513" w:rsidRPr="003A23BD">
              <w:rPr>
                <w:color w:val="000000"/>
                <w:lang w:eastAsia="lt-LT"/>
              </w:rPr>
              <w:t>stažuotojo darbo laiko norma projekto įgyvendinimo metu būtų 40 valandų per savaitę (1 etatas), įskaičiuojant mokslo ir studijų institucijų mokslo darbuotojams suteikiamas kasmetines atostogas</w:t>
            </w:r>
            <w:r w:rsidRPr="003A23BD">
              <w:t>.</w:t>
            </w:r>
            <w:r w:rsidRPr="002301EA">
              <w:t> </w:t>
            </w:r>
          </w:p>
          <w:p w14:paraId="220D68DF" w14:textId="18412245" w:rsidR="002301EA" w:rsidRPr="002301EA" w:rsidRDefault="002301EA" w:rsidP="002301EA">
            <w:r w:rsidRPr="002301EA">
              <w:t xml:space="preserve">Projekto įgyvendinimo metu stažuotojas turi išvykti stažuotis į užsienio mokslo ir studijų instituciją ar mokslinių tyrimų centrą, laboratoriją, įmonę, įstaigą, biblioteką, archyvą, ekspediciją ir kt. Minimali išvykos trukmė – </w:t>
            </w:r>
            <w:r w:rsidR="009D3CE1" w:rsidRPr="003A23BD">
              <w:t>30 kalendorinių dienų</w:t>
            </w:r>
            <w:r w:rsidRPr="003A23BD">
              <w:t>.</w:t>
            </w:r>
            <w:r w:rsidRPr="002301EA">
              <w:t xml:space="preserve"> Išvykos laikotarpis gali būti skaidomas į dalis, kurių viena turi būti ne trumpesnė kaip 15 dienų.  </w:t>
            </w:r>
          </w:p>
          <w:p w14:paraId="777CEF8D" w14:textId="1BFCA026" w:rsidR="002301EA" w:rsidRPr="002301EA" w:rsidRDefault="002301EA" w:rsidP="002301EA">
            <w:r w:rsidRPr="002301EA">
              <w:t xml:space="preserve">Kvietimo lėšos padalinamos </w:t>
            </w:r>
            <w:r w:rsidR="00616DB8">
              <w:t>proporcingai paraiškų grupėms</w:t>
            </w:r>
            <w:r w:rsidRPr="002301EA">
              <w:t xml:space="preserve">. </w:t>
            </w:r>
          </w:p>
          <w:p w14:paraId="0EFEEB70" w14:textId="77777777" w:rsidR="002301EA" w:rsidRPr="002301EA" w:rsidRDefault="002301EA" w:rsidP="002301EA">
            <w:r w:rsidRPr="002301EA">
              <w:t>Kvietimo paraiškos bus suskirstytos į tris dalis:</w:t>
            </w:r>
          </w:p>
          <w:p w14:paraId="649ADADD" w14:textId="77777777" w:rsidR="002301EA" w:rsidRPr="002301EA" w:rsidRDefault="002301EA" w:rsidP="002301EA">
            <w:pPr>
              <w:numPr>
                <w:ilvl w:val="0"/>
                <w:numId w:val="1"/>
              </w:numPr>
            </w:pPr>
            <w:r w:rsidRPr="002301EA">
              <w:t>humanitarinių ir socialinių mokslų sričių paraiškos;</w:t>
            </w:r>
          </w:p>
          <w:p w14:paraId="23CB2C73" w14:textId="77777777" w:rsidR="002301EA" w:rsidRPr="002301EA" w:rsidRDefault="002301EA" w:rsidP="002301EA">
            <w:pPr>
              <w:numPr>
                <w:ilvl w:val="0"/>
                <w:numId w:val="1"/>
              </w:numPr>
            </w:pPr>
            <w:r w:rsidRPr="002301EA">
              <w:t>scenos ir ekrano bei vaizduojamųjų menų sričių paraiškos; </w:t>
            </w:r>
          </w:p>
          <w:p w14:paraId="4474FB4A" w14:textId="77777777" w:rsidR="002301EA" w:rsidRPr="002301EA" w:rsidRDefault="002301EA" w:rsidP="002301EA">
            <w:pPr>
              <w:numPr>
                <w:ilvl w:val="0"/>
                <w:numId w:val="1"/>
              </w:numPr>
            </w:pPr>
            <w:r w:rsidRPr="002301EA">
              <w:lastRenderedPageBreak/>
              <w:t>gamtos, technologijos, medicinos ir sveikatos bei žemės ūkio mokslų sričių paraiškos.     </w:t>
            </w:r>
          </w:p>
          <w:p w14:paraId="56D9129C" w14:textId="77777777" w:rsidR="002301EA" w:rsidRPr="002301EA" w:rsidRDefault="002301EA" w:rsidP="002301EA">
            <w:r w:rsidRPr="002301EA">
              <w:t>Kiekvienoje iš šių dalių paraiškos gali būti suskirstytos į paraiškų grupes, atsižvelgiant į paraiškose nurodytas mokslo kryptis ir į projektų tematikas.</w:t>
            </w:r>
          </w:p>
          <w:p w14:paraId="60ABC482" w14:textId="77777777" w:rsidR="002301EA" w:rsidRPr="002301EA" w:rsidRDefault="002301EA" w:rsidP="002301EA">
            <w:r w:rsidRPr="00083EF5">
              <w:t>Paskelbus kvietimo rezultatus, į finansuojamų projektų sąrašą įtrauktų projektų stažuotojai, prieš pasirašant projektų finansavimo sutartis, elektroninėje sistemoje https://junkis.lmt.lt privalės pateikti identiško turinio paraiškas lietuvių kalba (be šio kvietimo sąlygose nurodytų kartu su paraiška teikiamų priedų). Projektai bus koordinuojami vadovaujantis paraiškoje lietuvių kalba nurodyta informacija.</w:t>
            </w:r>
            <w:r w:rsidRPr="002301EA">
              <w:t> </w:t>
            </w:r>
          </w:p>
          <w:p w14:paraId="389EA743" w14:textId="6E44AA16" w:rsidR="002301EA" w:rsidRPr="002301EA" w:rsidRDefault="002301EA" w:rsidP="002301EA"/>
        </w:tc>
      </w:tr>
    </w:tbl>
    <w:p w14:paraId="364C372C" w14:textId="77777777" w:rsidR="002301EA" w:rsidRDefault="002301EA"/>
    <w:sectPr w:rsidR="002301E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562ED"/>
    <w:multiLevelType w:val="multilevel"/>
    <w:tmpl w:val="D902B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9265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EA"/>
    <w:rsid w:val="00001C64"/>
    <w:rsid w:val="000426B4"/>
    <w:rsid w:val="00047035"/>
    <w:rsid w:val="00061B64"/>
    <w:rsid w:val="00083EF5"/>
    <w:rsid w:val="000F37C7"/>
    <w:rsid w:val="00141081"/>
    <w:rsid w:val="00152D95"/>
    <w:rsid w:val="002301EA"/>
    <w:rsid w:val="00264832"/>
    <w:rsid w:val="00287FD9"/>
    <w:rsid w:val="00314E80"/>
    <w:rsid w:val="003A23BD"/>
    <w:rsid w:val="003C3513"/>
    <w:rsid w:val="004A4F7B"/>
    <w:rsid w:val="00540897"/>
    <w:rsid w:val="005852CA"/>
    <w:rsid w:val="00616DB8"/>
    <w:rsid w:val="0064266E"/>
    <w:rsid w:val="00654B9B"/>
    <w:rsid w:val="006F12E3"/>
    <w:rsid w:val="00710A70"/>
    <w:rsid w:val="00750566"/>
    <w:rsid w:val="007974D1"/>
    <w:rsid w:val="009A2408"/>
    <w:rsid w:val="009D3CE1"/>
    <w:rsid w:val="00B07283"/>
    <w:rsid w:val="00B65FF8"/>
    <w:rsid w:val="00B67431"/>
    <w:rsid w:val="00D13559"/>
    <w:rsid w:val="00D27304"/>
    <w:rsid w:val="00DE4E3A"/>
    <w:rsid w:val="00E519D0"/>
    <w:rsid w:val="00E57B14"/>
    <w:rsid w:val="00E8071A"/>
    <w:rsid w:val="00ED0870"/>
    <w:rsid w:val="00EE5ED6"/>
    <w:rsid w:val="00EE6365"/>
    <w:rsid w:val="00FA10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C8BC"/>
  <w15:chartTrackingRefBased/>
  <w15:docId w15:val="{E0A31BE0-4AE5-464A-A0EC-78EE0F65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1EA"/>
    <w:rPr>
      <w:rFonts w:eastAsiaTheme="majorEastAsia" w:cstheme="majorBidi"/>
      <w:color w:val="272727" w:themeColor="text1" w:themeTint="D8"/>
    </w:rPr>
  </w:style>
  <w:style w:type="paragraph" w:styleId="Title">
    <w:name w:val="Title"/>
    <w:basedOn w:val="Normal"/>
    <w:next w:val="Normal"/>
    <w:link w:val="TitleChar"/>
    <w:uiPriority w:val="10"/>
    <w:qFormat/>
    <w:rsid w:val="00230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1EA"/>
    <w:pPr>
      <w:spacing w:before="160"/>
      <w:jc w:val="center"/>
    </w:pPr>
    <w:rPr>
      <w:i/>
      <w:iCs/>
      <w:color w:val="404040" w:themeColor="text1" w:themeTint="BF"/>
    </w:rPr>
  </w:style>
  <w:style w:type="character" w:customStyle="1" w:styleId="QuoteChar">
    <w:name w:val="Quote Char"/>
    <w:basedOn w:val="DefaultParagraphFont"/>
    <w:link w:val="Quote"/>
    <w:uiPriority w:val="29"/>
    <w:rsid w:val="002301EA"/>
    <w:rPr>
      <w:i/>
      <w:iCs/>
      <w:color w:val="404040" w:themeColor="text1" w:themeTint="BF"/>
    </w:rPr>
  </w:style>
  <w:style w:type="paragraph" w:styleId="ListParagraph">
    <w:name w:val="List Paragraph"/>
    <w:basedOn w:val="Normal"/>
    <w:uiPriority w:val="34"/>
    <w:qFormat/>
    <w:rsid w:val="002301EA"/>
    <w:pPr>
      <w:ind w:left="720"/>
      <w:contextualSpacing/>
    </w:pPr>
  </w:style>
  <w:style w:type="character" w:styleId="IntenseEmphasis">
    <w:name w:val="Intense Emphasis"/>
    <w:basedOn w:val="DefaultParagraphFont"/>
    <w:uiPriority w:val="21"/>
    <w:qFormat/>
    <w:rsid w:val="002301EA"/>
    <w:rPr>
      <w:i/>
      <w:iCs/>
      <w:color w:val="0F4761" w:themeColor="accent1" w:themeShade="BF"/>
    </w:rPr>
  </w:style>
  <w:style w:type="paragraph" w:styleId="IntenseQuote">
    <w:name w:val="Intense Quote"/>
    <w:basedOn w:val="Normal"/>
    <w:next w:val="Normal"/>
    <w:link w:val="IntenseQuoteChar"/>
    <w:uiPriority w:val="30"/>
    <w:qFormat/>
    <w:rsid w:val="00230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1EA"/>
    <w:rPr>
      <w:i/>
      <w:iCs/>
      <w:color w:val="0F4761" w:themeColor="accent1" w:themeShade="BF"/>
    </w:rPr>
  </w:style>
  <w:style w:type="character" w:styleId="IntenseReference">
    <w:name w:val="Intense Reference"/>
    <w:basedOn w:val="DefaultParagraphFont"/>
    <w:uiPriority w:val="32"/>
    <w:qFormat/>
    <w:rsid w:val="002301EA"/>
    <w:rPr>
      <w:b/>
      <w:bCs/>
      <w:smallCaps/>
      <w:color w:val="0F4761" w:themeColor="accent1" w:themeShade="BF"/>
      <w:spacing w:val="5"/>
    </w:rPr>
  </w:style>
  <w:style w:type="character" w:styleId="Hyperlink">
    <w:name w:val="Hyperlink"/>
    <w:basedOn w:val="DefaultParagraphFont"/>
    <w:uiPriority w:val="99"/>
    <w:unhideWhenUsed/>
    <w:rsid w:val="002301EA"/>
    <w:rPr>
      <w:color w:val="467886" w:themeColor="hyperlink"/>
      <w:u w:val="single"/>
    </w:rPr>
  </w:style>
  <w:style w:type="character" w:styleId="UnresolvedMention">
    <w:name w:val="Unresolved Mention"/>
    <w:basedOn w:val="DefaultParagraphFont"/>
    <w:uiPriority w:val="99"/>
    <w:semiHidden/>
    <w:unhideWhenUsed/>
    <w:rsid w:val="00230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86479">
      <w:bodyDiv w:val="1"/>
      <w:marLeft w:val="0"/>
      <w:marRight w:val="0"/>
      <w:marTop w:val="0"/>
      <w:marBottom w:val="0"/>
      <w:divBdr>
        <w:top w:val="none" w:sz="0" w:space="0" w:color="auto"/>
        <w:left w:val="none" w:sz="0" w:space="0" w:color="auto"/>
        <w:bottom w:val="none" w:sz="0" w:space="0" w:color="auto"/>
        <w:right w:val="none" w:sz="0" w:space="0" w:color="auto"/>
      </w:divBdr>
    </w:div>
    <w:div w:id="142025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unkis.lm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3199</Words>
  <Characters>1824</Characters>
  <Application>Microsoft Office Word</Application>
  <DocSecurity>0</DocSecurity>
  <Lines>15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Jogaila Mackevičius | Lietuvos mokslo taryba</dc:creator>
  <cp:keywords/>
  <dc:description/>
  <cp:lastModifiedBy>Jogaila Mackevičius | Lietuvos mokslo taryba</cp:lastModifiedBy>
  <cp:revision>33</cp:revision>
  <dcterms:created xsi:type="dcterms:W3CDTF">2025-02-26T13:01:00Z</dcterms:created>
  <dcterms:modified xsi:type="dcterms:W3CDTF">2025-04-09T04:31:00Z</dcterms:modified>
</cp:coreProperties>
</file>