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  <w:jc w:val="right"/>
      </w:pPr>
      <w:r>
        <w:rPr>
          <w:rFonts w:ascii="Arial" w:hAnsi="Arial"/>
          <w:sz w:val="20"/>
        </w:rPr>
        <w:t>PATVIRTINTA</w:t>
        <w:br/>
      </w:r>
      <w:r>
        <w:rPr>
          <w:rFonts w:ascii="Arial" w:hAnsi="Arial"/>
          <w:sz w:val="20"/>
        </w:rPr>
        <w:t>Lietuvos mokslo tarybos pirmininko</w:t>
        <w:br/>
      </w:r>
      <w:r>
        <w:rPr>
          <w:rFonts w:ascii="Arial" w:hAnsi="Arial"/>
          <w:sz w:val="20"/>
        </w:rPr>
        <w:t>2026 m. kovo 9 d. įsakymu Nr. V-125</w:t>
      </w:r>
    </w:p>
    <w:p>
      <w:pPr>
        <w:spacing w:before="120" w:after="240"/>
        <w:jc w:val="center"/>
      </w:pPr>
      <w:r>
        <w:rPr>
          <w:rFonts w:ascii="Arial" w:hAnsi="Arial"/>
          <w:b/>
          <w:sz w:val="22"/>
        </w:rPr>
        <w:t>CHIST-ERA PROGRAMOS 2024 M. KVIETIMO FINANSUOJAMŲ PROJEKTŲ SĄRAŠAS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68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8"/>
              </w:rPr>
              <w:t>Eil. Nr.</w:t>
            </w:r>
          </w:p>
        </w:tc>
        <w:tc>
          <w:tcPr>
            <w:tcW w:type="dxa" w:w="1361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8"/>
              </w:rPr>
              <w:t>Paraiškos kodas</w:t>
            </w:r>
          </w:p>
        </w:tc>
        <w:tc>
          <w:tcPr>
            <w:tcW w:type="dxa" w:w="232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8"/>
              </w:rPr>
              <w:t>Projekto vadovas ir</w:t>
              <w:br/>
              <w:t>vykdančioji institucija</w:t>
            </w:r>
          </w:p>
        </w:tc>
        <w:tc>
          <w:tcPr>
            <w:tcW w:type="dxa" w:w="4082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8"/>
              </w:rPr>
              <w:t>Projekto pavadinimas</w:t>
            </w:r>
          </w:p>
        </w:tc>
        <w:tc>
          <w:tcPr>
            <w:tcW w:type="dxa" w:w="1191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8"/>
              </w:rPr>
              <w:t>Skiriamos lėšos, Eur</w:t>
            </w:r>
          </w:p>
        </w:tc>
      </w:tr>
      <w:tr>
        <w:tc>
          <w:tcPr>
            <w:tcW w:type="dxa" w:w="68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8"/>
              </w:rPr>
              <w:t>1.</w:t>
            </w:r>
          </w:p>
        </w:tc>
        <w:tc>
          <w:tcPr>
            <w:tcW w:type="dxa" w:w="1361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8"/>
              </w:rPr>
              <w:t>CRITICS</w:t>
            </w:r>
          </w:p>
        </w:tc>
        <w:tc>
          <w:tcPr>
            <w:tcW w:type="dxa" w:w="232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/>
              <w:jc w:val="left"/>
            </w:pPr>
            <w:r>
              <w:rPr>
                <w:rFonts w:ascii="Arial" w:hAnsi="Arial"/>
                <w:sz w:val="18"/>
              </w:rPr>
              <w:t>Jurgita Kapočiūtė-Dzikienė,</w:t>
              <w:br/>
              <w:br/>
              <w:t>Vytauto Didžiojo universitetas</w:t>
            </w:r>
          </w:p>
        </w:tc>
        <w:tc>
          <w:tcPr>
            <w:tcW w:type="dxa" w:w="4082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/>
              <w:jc w:val="left"/>
            </w:pPr>
            <w:r>
              <w:rPr>
                <w:rFonts w:ascii="Arial" w:hAnsi="Arial"/>
                <w:sz w:val="18"/>
              </w:rPr>
              <w:t>Kritinis mokslas be sienų: didžiųjų kalbinių modelių taikymas mokslinių žinių vertimui daugiakalbėje aplinkoje</w:t>
            </w:r>
          </w:p>
        </w:tc>
        <w:tc>
          <w:tcPr>
            <w:tcW w:type="dxa" w:w="1191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8"/>
              </w:rPr>
              <w:t>149 999</w:t>
            </w:r>
          </w:p>
        </w:tc>
      </w:tr>
    </w:tbl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